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华文中宋" w:eastAsia="仿宋_GB2312"/>
          <w:sz w:val="32"/>
          <w:szCs w:val="32"/>
        </w:rPr>
      </w:pPr>
      <w:r>
        <w:rPr>
          <w:rFonts w:hint="eastAsia" w:ascii="仿宋_GB2312" w:hAnsi="华文中宋" w:eastAsia="仿宋_GB2312"/>
          <w:sz w:val="32"/>
          <w:szCs w:val="32"/>
        </w:rPr>
        <w:t>附件：</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2017年浙江省大学生科技创新活动计划暨新苗人才计划</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杭州师范大学项目名单及资助经费表</w:t>
      </w:r>
    </w:p>
    <w:p>
      <w:pPr>
        <w:jc w:val="center"/>
        <w:rPr>
          <w:rFonts w:hint="eastAsia" w:ascii="仿宋_GB2312" w:hAnsi="华文中宋" w:eastAsia="仿宋_GB2312"/>
          <w:sz w:val="18"/>
          <w:szCs w:val="18"/>
        </w:rPr>
      </w:pPr>
    </w:p>
    <w:p>
      <w:pPr>
        <w:jc w:val="center"/>
        <w:rPr>
          <w:rFonts w:hint="eastAsia" w:ascii="仿宋_GB2312" w:hAnsi="华文中宋" w:eastAsia="仿宋_GB2312"/>
          <w:sz w:val="28"/>
          <w:szCs w:val="28"/>
        </w:rPr>
      </w:pPr>
      <w:r>
        <w:rPr>
          <w:rFonts w:hint="eastAsia" w:ascii="仿宋_GB2312" w:hAnsi="华文中宋" w:eastAsia="仿宋_GB2312"/>
          <w:sz w:val="28"/>
          <w:szCs w:val="28"/>
        </w:rPr>
        <w:t>项目承担单位：</w:t>
      </w:r>
      <w:r>
        <w:rPr>
          <w:rFonts w:hint="eastAsia" w:ascii="仿宋_GB2312" w:hAnsi="华文中宋" w:eastAsia="仿宋_GB2312"/>
          <w:sz w:val="32"/>
          <w:szCs w:val="32"/>
        </w:rPr>
        <w:t xml:space="preserve">杭州师范大学    </w:t>
      </w:r>
      <w:r>
        <w:rPr>
          <w:rFonts w:hint="eastAsia" w:ascii="仿宋_GB2312" w:hAnsi="华文中宋" w:eastAsia="仿宋_GB2312"/>
          <w:sz w:val="28"/>
          <w:szCs w:val="28"/>
        </w:rPr>
        <w:t>资助经费：42万元</w:t>
      </w:r>
    </w:p>
    <w:p>
      <w:pPr>
        <w:jc w:val="center"/>
        <w:rPr>
          <w:rFonts w:hint="eastAsia" w:ascii="仿宋_GB2312" w:hAnsi="华文中宋" w:eastAsia="仿宋_GB2312"/>
          <w:b/>
          <w:sz w:val="28"/>
          <w:szCs w:val="28"/>
        </w:rPr>
      </w:pPr>
      <w:r>
        <w:rPr>
          <w:rFonts w:hint="eastAsia" w:ascii="仿宋_GB2312" w:hAnsi="华文中宋" w:eastAsia="仿宋_GB2312"/>
          <w:b/>
          <w:sz w:val="28"/>
          <w:szCs w:val="28"/>
        </w:rPr>
        <w:t>总编号：2017R423</w:t>
      </w:r>
    </w:p>
    <w:tbl>
      <w:tblPr>
        <w:tblStyle w:val="8"/>
        <w:tblW w:w="114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6393"/>
        <w:gridCol w:w="1110"/>
        <w:gridCol w:w="94"/>
        <w:gridCol w:w="1110"/>
        <w:gridCol w:w="9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1404" w:type="dxa"/>
            <w:vAlign w:val="center"/>
          </w:tcPr>
          <w:p>
            <w:pPr>
              <w:spacing w:line="28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6393" w:type="dxa"/>
            <w:vAlign w:val="center"/>
          </w:tcPr>
          <w:p>
            <w:pPr>
              <w:spacing w:line="28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项目名称</w:t>
            </w:r>
          </w:p>
        </w:tc>
        <w:tc>
          <w:tcPr>
            <w:tcW w:w="1204" w:type="dxa"/>
            <w:gridSpan w:val="2"/>
            <w:vAlign w:val="center"/>
          </w:tcPr>
          <w:p>
            <w:pPr>
              <w:spacing w:line="28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负责人</w:t>
            </w:r>
          </w:p>
        </w:tc>
        <w:tc>
          <w:tcPr>
            <w:tcW w:w="1204" w:type="dxa"/>
            <w:gridSpan w:val="2"/>
            <w:vAlign w:val="top"/>
          </w:tcPr>
          <w:p>
            <w:pPr>
              <w:spacing w:line="28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学院</w:t>
            </w:r>
          </w:p>
        </w:tc>
        <w:tc>
          <w:tcPr>
            <w:tcW w:w="1204" w:type="dxa"/>
            <w:vAlign w:val="center"/>
          </w:tcPr>
          <w:p>
            <w:pPr>
              <w:spacing w:line="28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9" w:type="dxa"/>
            <w:gridSpan w:val="7"/>
            <w:vAlign w:val="top"/>
          </w:tcPr>
          <w:p>
            <w:pPr>
              <w:spacing w:line="280" w:lineRule="exact"/>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大学生科技创新项目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2017R423001</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eastAsia="仿宋_GB2312"/>
                <w:szCs w:val="21"/>
              </w:rPr>
              <w:t>资源枯竭型城市劳动力自主创业研究——以新疆克拉玛依市为例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李紫烟</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政治与社会学院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张孝廷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2017R423002</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国际化城市中志愿服务体系的构建与塑造一一以杭州为例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李童桐</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政治与社会学院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张孝廷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2017R423003</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机构老人社会支持系统重构的路径研究——以杭州</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某养老服务机构为例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郭海凤</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政治与社会学院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郑  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2017R423004</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《“互联网+”背景下社区教育初探一一混合式学习</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模式的可行性分析》</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李曼琪</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政治与社会学院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郑  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2017R423005</w:t>
            </w:r>
          </w:p>
        </w:tc>
        <w:tc>
          <w:tcPr>
            <w:tcW w:w="6393" w:type="dxa"/>
            <w:shd w:val="clear" w:color="auto" w:fill="FFFFFF"/>
            <w:vAlign w:val="center"/>
          </w:tcPr>
          <w:p>
            <w:pPr>
              <w:pStyle w:val="3"/>
              <w:spacing w:line="280" w:lineRule="exact"/>
              <w:ind w:left="0" w:firstLine="0" w:firstLineChars="0"/>
              <w:jc w:val="center"/>
              <w:rPr>
                <w:rFonts w:ascii="仿宋_GB2312" w:hAnsi="Calibri" w:eastAsia="仿宋_GB2312"/>
                <w:szCs w:val="21"/>
              </w:rPr>
            </w:pPr>
            <w:r>
              <w:rPr>
                <w:rFonts w:hint="eastAsia" w:ascii="仿宋_GB2312" w:hAnsi="Calibri" w:eastAsia="仿宋_GB2312"/>
                <w:szCs w:val="21"/>
              </w:rPr>
              <w:t>政府法律顾问制度运行机制研究——基于地方法治实践的调查</w:t>
            </w:r>
          </w:p>
        </w:tc>
        <w:tc>
          <w:tcPr>
            <w:tcW w:w="1110" w:type="dxa"/>
            <w:shd w:val="clear" w:color="auto" w:fill="FFFFFF"/>
            <w:vAlign w:val="center"/>
          </w:tcPr>
          <w:p>
            <w:pPr>
              <w:pStyle w:val="3"/>
              <w:spacing w:line="280" w:lineRule="exact"/>
              <w:ind w:left="0" w:firstLine="0" w:firstLineChars="0"/>
              <w:jc w:val="center"/>
              <w:rPr>
                <w:rFonts w:ascii="仿宋_GB2312" w:hAnsi="Calibri" w:eastAsia="仿宋_GB2312"/>
                <w:szCs w:val="21"/>
              </w:rPr>
            </w:pPr>
            <w:r>
              <w:rPr>
                <w:rFonts w:hint="eastAsia" w:ascii="仿宋_GB2312" w:eastAsia="仿宋_GB2312"/>
                <w:szCs w:val="21"/>
              </w:rPr>
              <w:t>戚昳菲</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沈钧儒法学院</w:t>
            </w:r>
          </w:p>
        </w:tc>
        <w:tc>
          <w:tcPr>
            <w:tcW w:w="1298" w:type="dxa"/>
            <w:gridSpan w:val="2"/>
            <w:shd w:val="clear" w:color="auto" w:fill="FFFFFF"/>
            <w:vAlign w:val="center"/>
          </w:tcPr>
          <w:p>
            <w:pPr>
              <w:pStyle w:val="3"/>
              <w:spacing w:line="280" w:lineRule="exact"/>
              <w:ind w:left="0" w:firstLine="0" w:firstLineChars="0"/>
              <w:jc w:val="center"/>
              <w:rPr>
                <w:rFonts w:ascii="仿宋_GB2312" w:hAnsi="Calibri" w:eastAsia="仿宋_GB2312"/>
                <w:szCs w:val="21"/>
              </w:rPr>
            </w:pPr>
            <w:r>
              <w:rPr>
                <w:rFonts w:hint="eastAsia" w:ascii="仿宋_GB2312" w:hAnsi="Calibri" w:eastAsia="仿宋_GB2312"/>
                <w:szCs w:val="21"/>
              </w:rPr>
              <w:t>赵元成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2017R423006</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浙江省余东农民画现状分析与研究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陈懿莉</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人文学院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单晓溪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2017R423007</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eastAsia="仿宋_GB2312"/>
                <w:szCs w:val="21"/>
              </w:rPr>
              <w:t>乡村复兴与文创力量：传统文化的保护与利用——以舟山市南洞艺谷为例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裘伊宁</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人文学院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马强才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2017R423008</w:t>
            </w:r>
          </w:p>
        </w:tc>
        <w:tc>
          <w:tcPr>
            <w:tcW w:w="6393" w:type="dxa"/>
            <w:shd w:val="clear" w:color="auto" w:fill="FFFFFF"/>
            <w:vAlign w:val="center"/>
          </w:tcPr>
          <w:p>
            <w:pPr>
              <w:pStyle w:val="3"/>
              <w:spacing w:line="280" w:lineRule="exact"/>
              <w:ind w:left="0" w:firstLine="0" w:firstLineChars="0"/>
              <w:jc w:val="center"/>
              <w:rPr>
                <w:rFonts w:hint="eastAsia" w:ascii="仿宋_GB2312" w:eastAsia="仿宋_GB2312"/>
                <w:szCs w:val="21"/>
              </w:rPr>
            </w:pPr>
            <w:r>
              <w:rPr>
                <w:rFonts w:hint="eastAsia" w:ascii="仿宋_GB2312" w:eastAsia="仿宋_GB2312"/>
                <w:szCs w:val="21"/>
              </w:rPr>
              <w:t>后拆迁时代农民安置社区生活动态调研—以杭州“未来科技城”版块为核心区域</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刘萤颖</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人文学院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姚永辉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2017R423009</w:t>
            </w:r>
          </w:p>
        </w:tc>
        <w:tc>
          <w:tcPr>
            <w:tcW w:w="6393" w:type="dxa"/>
            <w:shd w:val="clear" w:color="auto" w:fill="FFFFFF"/>
            <w:vAlign w:val="center"/>
          </w:tcPr>
          <w:p>
            <w:pPr>
              <w:pStyle w:val="3"/>
              <w:spacing w:line="280" w:lineRule="exact"/>
              <w:ind w:left="0" w:firstLine="0" w:firstLineChars="0"/>
              <w:jc w:val="center"/>
              <w:rPr>
                <w:rFonts w:hint="eastAsia" w:ascii="仿宋_GB2312" w:eastAsia="仿宋_GB2312"/>
                <w:szCs w:val="21"/>
              </w:rPr>
            </w:pPr>
            <w:r>
              <w:rPr>
                <w:rFonts w:hint="eastAsia" w:ascii="仿宋_GB2312" w:eastAsia="仿宋_GB2312"/>
                <w:szCs w:val="21"/>
              </w:rPr>
              <w:t>“四个全面”背景下浙江区域经济转型的“双城记”——以杭州市江干区“智慧小镇”与“传统小镇”的发展路径对比为例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汪  颖</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人文学院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周东华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2017R423010</w:t>
            </w:r>
          </w:p>
        </w:tc>
        <w:tc>
          <w:tcPr>
            <w:tcW w:w="6393" w:type="dxa"/>
            <w:shd w:val="clear" w:color="auto" w:fill="FFFFFF"/>
            <w:vAlign w:val="center"/>
          </w:tcPr>
          <w:p>
            <w:pPr>
              <w:pStyle w:val="3"/>
              <w:spacing w:line="280" w:lineRule="exact"/>
              <w:ind w:left="0" w:firstLine="0" w:firstLineChars="0"/>
              <w:jc w:val="center"/>
              <w:rPr>
                <w:rFonts w:hint="eastAsia" w:ascii="仿宋_GB2312" w:eastAsia="仿宋_GB2312"/>
                <w:szCs w:val="21"/>
              </w:rPr>
            </w:pPr>
            <w:r>
              <w:rPr>
                <w:rFonts w:hint="eastAsia" w:ascii="仿宋_GB2312" w:eastAsia="仿宋_GB2312"/>
                <w:szCs w:val="21"/>
              </w:rPr>
              <w:t>老龄化趋势下社区养老模式的探究与思考一以杭州主城区为例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何璐君</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人文学院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俞晓霞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2017R423011</w:t>
            </w:r>
          </w:p>
        </w:tc>
        <w:tc>
          <w:tcPr>
            <w:tcW w:w="6393" w:type="dxa"/>
            <w:shd w:val="clear" w:color="auto" w:fill="FFFFFF"/>
            <w:vAlign w:val="center"/>
          </w:tcPr>
          <w:p>
            <w:pPr>
              <w:pStyle w:val="3"/>
              <w:spacing w:line="280" w:lineRule="exact"/>
              <w:ind w:left="0" w:firstLine="0" w:firstLineChars="0"/>
              <w:jc w:val="center"/>
              <w:rPr>
                <w:rFonts w:hint="eastAsia" w:ascii="仿宋_GB2312" w:eastAsia="仿宋_GB2312"/>
                <w:szCs w:val="21"/>
              </w:rPr>
            </w:pPr>
            <w:r>
              <w:rPr>
                <w:rFonts w:hint="eastAsia" w:ascii="仿宋_GB2312" w:eastAsia="仿宋_GB2312"/>
                <w:szCs w:val="21"/>
              </w:rPr>
              <w:t>民间物质文化遗产该何去何从？——基于对绍兴云门</w:t>
            </w:r>
          </w:p>
          <w:p>
            <w:pPr>
              <w:pStyle w:val="3"/>
              <w:spacing w:line="280" w:lineRule="exact"/>
              <w:ind w:left="0" w:firstLine="0" w:firstLineChars="0"/>
              <w:jc w:val="center"/>
              <w:rPr>
                <w:rFonts w:hint="eastAsia" w:ascii="仿宋_GB2312" w:eastAsia="仿宋_GB2312"/>
                <w:szCs w:val="21"/>
              </w:rPr>
            </w:pPr>
            <w:r>
              <w:rPr>
                <w:rFonts w:hint="eastAsia" w:ascii="仿宋_GB2312" w:eastAsia="仿宋_GB2312"/>
                <w:szCs w:val="21"/>
              </w:rPr>
              <w:t>古寺历史文化圈的考察</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秦浩楠</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人文学院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余清良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2017R423012</w:t>
            </w:r>
          </w:p>
        </w:tc>
        <w:tc>
          <w:tcPr>
            <w:tcW w:w="6393" w:type="dxa"/>
            <w:shd w:val="clear" w:color="auto" w:fill="FFFFFF"/>
            <w:vAlign w:val="center"/>
          </w:tcPr>
          <w:p>
            <w:pPr>
              <w:pStyle w:val="3"/>
              <w:spacing w:line="280" w:lineRule="exact"/>
              <w:ind w:left="0" w:firstLine="0" w:firstLineChars="0"/>
              <w:jc w:val="center"/>
              <w:rPr>
                <w:rFonts w:hint="eastAsia" w:ascii="仿宋_GB2312" w:eastAsia="仿宋_GB2312"/>
                <w:szCs w:val="21"/>
              </w:rPr>
            </w:pPr>
            <w:r>
              <w:rPr>
                <w:rFonts w:ascii="仿宋_GB2312" w:eastAsia="仿宋_GB2312"/>
                <w:szCs w:val="21"/>
              </w:rPr>
              <w:t>“互联网+非物质文化遗产保护”视野下传统文化资源数字化与活态传承——以浙江畲族婚俗为例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周琪美</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人文学院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姚永辉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2017R423013</w:t>
            </w:r>
          </w:p>
        </w:tc>
        <w:tc>
          <w:tcPr>
            <w:tcW w:w="6393" w:type="dxa"/>
            <w:shd w:val="clear" w:color="auto" w:fill="FFFFFF"/>
            <w:vAlign w:val="center"/>
          </w:tcPr>
          <w:p>
            <w:pPr>
              <w:pStyle w:val="3"/>
              <w:spacing w:line="280" w:lineRule="exact"/>
              <w:ind w:left="0" w:firstLine="0" w:firstLineChars="0"/>
              <w:jc w:val="center"/>
              <w:rPr>
                <w:rFonts w:hint="eastAsia" w:ascii="仿宋_GB2312" w:eastAsia="仿宋_GB2312"/>
                <w:szCs w:val="21"/>
              </w:rPr>
            </w:pPr>
            <w:r>
              <w:rPr>
                <w:rFonts w:hint="eastAsia" w:ascii="仿宋_GB2312" w:eastAsia="仿宋_GB2312"/>
                <w:szCs w:val="21"/>
              </w:rPr>
              <w:t>环西湖寺观群的历史与现状一一基于“西湖风景名胜区”</w:t>
            </w:r>
          </w:p>
          <w:p>
            <w:pPr>
              <w:pStyle w:val="3"/>
              <w:spacing w:line="280" w:lineRule="exact"/>
              <w:ind w:left="0" w:firstLine="0" w:firstLineChars="0"/>
              <w:jc w:val="center"/>
              <w:rPr>
                <w:rFonts w:hint="eastAsia" w:ascii="仿宋_GB2312" w:eastAsia="仿宋_GB2312"/>
                <w:szCs w:val="21"/>
              </w:rPr>
            </w:pPr>
            <w:r>
              <w:rPr>
                <w:rFonts w:hint="eastAsia" w:ascii="仿宋_GB2312" w:eastAsia="仿宋_GB2312"/>
                <w:szCs w:val="21"/>
              </w:rPr>
              <w:t>寺观庵堂遗存的调查与研究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章佳萍</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人文学院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刘正平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2017R423014</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“后G20时期”杭州旅游景点公示语翻译研究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刘  勇</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外国语学院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高  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2017R423015</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互联网经济下大学生创业创新现状调查与</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问题研究——以杭州高校为例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何  丹</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外国语学院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沈  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2017R423016</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VR技术在中小学教育教学上的具体应用及前景研究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汪家悦</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经亨颐学院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盛  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2017R423017</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“海外代购”风险问题的调查与研究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奚露薇</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经亨颐学院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盛  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2017R423018</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农村小学教师专业化发展与培训机制调查研究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高  平</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教育学院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傅亚强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2017R423019</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“成年初显期”自我身份探索的心理援助</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尹  颖</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教育学院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吴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2017R423020</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在押人员道德决策过程及其影响因素的现状</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分析——以杭州市拘留所为例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熊  鹰</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教育学院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杨  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2017R423021</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大学生信息安全保护措施及教育一一基于《大学生信息安全认知的测量及其与人格特征的关系》研究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龚子捷</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教育学院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2017R423022</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行走在视线边缘的浙东渔歌一一浙江象山地区</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渔民号子的保护与传承</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程  超</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教育学院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丁  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2017R423023</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基于数字地图的路网字符形状自动生成系统</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洪嘉璐</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杭州国际服务工程学院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单振宇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2017R423024</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无干扰操控的AR手术研究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高  烨</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杭州国际服务工程学院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孙晓燕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2017R423025</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杭州蚕豆科技有限公司</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陈丽慧</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阿里巴巴商学院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吕琳媛</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苟尤钊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2017R423026</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社交商务现象及其商业模式实证研究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赵  红</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阿里巴巴商学院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王淑翠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2017R423027</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基于生物正交化学的脂肪酶自交联聚集体制备与催化研究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余建云</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材料与化学化工学院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2017R423028</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酞菁/细菌纤维素复合催化剂的制备及染料废水净化处理</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滕巧玲</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钱江学院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陈世良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2017R423029</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大学生扁平足现状调查及运动干预矫正研究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陈宇驰</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体育与健康学院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徐玉明</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2017R423030</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基于FitLightTrainer测试系统的三大球专项</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灵敏素质测评方法的研究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赵杜正</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体育与健康学院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徐玉明</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2017R423031</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药物洗脱球囊在冠状动脉原发性小血管病变中的临床对比研究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林祖潘</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张邢炜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2017R423032</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癌症患者康复辅助治疗移动APP开发</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谭若云</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王大辉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2017R423033</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环境PM2.5实时暴露对阿尔茨海默症促进作用的实验研究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严丽莎</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 w:hAnsi="仿宋" w:eastAsia="仿宋"/>
              </w:rPr>
              <w:t>胡宇 王欢</w:t>
            </w:r>
            <w:r>
              <w:rPr>
                <w:rFonts w:hint="eastAsia" w:ascii="仿宋_GB2312" w:hAnsi="Calibri" w:eastAsia="仿宋_GB2312"/>
                <w:szCs w:val="21"/>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2017R423034</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严重意识障碍患者的情景性情绪应答与预后的关系</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  恬</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狄海波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2017R423035</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多元利益相关者对民营医院社会责任诉求及其实现程度的分析研究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  焱</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  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2017R423036</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基于中医治未病的社区老年人健康管理的供需研究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刘垚鑫</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王小合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2017R423037</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肠道菌群差异与结直肠癌发生发展的研究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罗  再</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冯琛卓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2017R423038</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白藜芦醇通过TFEB调节细胞自噬作用机制的研究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陆  晶</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连福治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2017R423039</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亚精胺增强自噬流对抗阿尔茨海默病样神经元变性作用研究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  莉</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杨  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2017R423040</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社区中老年人用药提醒App的研发及效果验证</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陈云香</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 w:hAnsi="仿宋" w:eastAsia="仿宋"/>
              </w:rPr>
              <w:t>钱英 朱雪娇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2017R423041</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饮用水消毒副产物对黑斑蛙的生殖毒性及机理研究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刘文丽</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张杭君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2017R423042</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传统木制玩具智能化改造方案研究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尹  婷</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文化与创意学院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邓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2017R423043</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古村落保护和旅游发展共臝之路探究——以浙江省</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兰溪市诸葛八卦村为例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汪思雯</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经济与管理学院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康  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2017R423044</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“供给侧结构性改革”战略下杭州企业“走出去”问题研究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陈思思</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经济与管理学院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曾绍龙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2017R423045</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新形势下大学生文化自信培育路径研究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斯  文</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经济与管理学院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沈  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2017R423046</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2017年杭州师范大学大学生思想政治状况白皮书</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林雅婷</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教育学院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董  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2017R423047</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第二课堂成缋单建设推动科研创新创业活动有效开展的</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调查研究——以杭州师范大学为例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鲍羿存</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沈钧儒法学院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  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2017R423048</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杭州市高校学生网络新媒体平台使用情况及网络新媒体平台运营现状的调查研究</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林会鸿</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政治与社会学院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2017R423049</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互联网赛事申报跟踪系统——以创新创业相关大赛为主体</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卢袁迪</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经济与管理学院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葛如雄 曹丹丹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2017R423050</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高校大学生艺术团与文化礼堂合作探索与实践——以杭师大与余杭区仓前街道的合作为例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吴  洁</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教育学院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曹丹丹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shd w:val="clear" w:color="auto" w:fill="auto"/>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rPr>
              <w:t>2017R423051</w:t>
            </w:r>
          </w:p>
        </w:tc>
        <w:tc>
          <w:tcPr>
            <w:tcW w:w="6393"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中小学拓展型课程开展现状调研一以</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杭州师范大学“小桔灯课堂”为例</w:t>
            </w:r>
          </w:p>
        </w:tc>
        <w:tc>
          <w:tcPr>
            <w:tcW w:w="1110" w:type="dxa"/>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高  露</w:t>
            </w:r>
          </w:p>
        </w:tc>
        <w:tc>
          <w:tcPr>
            <w:tcW w:w="1204" w:type="dxa"/>
            <w:gridSpan w:val="2"/>
            <w:shd w:val="clear" w:color="auto" w:fill="FFFFFF"/>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教育学院</w:t>
            </w:r>
          </w:p>
        </w:tc>
        <w:tc>
          <w:tcPr>
            <w:tcW w:w="1298" w:type="dxa"/>
            <w:gridSpan w:val="2"/>
            <w:shd w:val="clear" w:color="auto" w:fill="FFFFFF"/>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曹丹丹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9" w:type="dxa"/>
            <w:gridSpan w:val="7"/>
            <w:vAlign w:val="top"/>
          </w:tcPr>
          <w:p>
            <w:pPr>
              <w:spacing w:line="280" w:lineRule="exact"/>
              <w:jc w:val="center"/>
              <w:textAlignment w:val="center"/>
              <w:rPr>
                <w:rFonts w:hint="eastAsia" w:ascii="仿宋_GB2312" w:hAnsi="仿宋_GB2312" w:eastAsia="仿宋_GB2312" w:cs="仿宋_GB2312"/>
                <w:szCs w:val="21"/>
              </w:rPr>
            </w:pPr>
            <w:r>
              <w:rPr>
                <w:rFonts w:hint="eastAsia" w:ascii="仿宋_GB2312" w:hAnsi="宋体" w:eastAsia="仿宋_GB2312" w:cs="仿宋_GB2312"/>
                <w:b/>
                <w:bCs/>
                <w:color w:val="000000"/>
                <w:kern w:val="0"/>
                <w:szCs w:val="21"/>
              </w:rPr>
              <w:t>大学生科技成果推广项目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2017R423052</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新生儿乳糖不耐受探查及干预</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饶燕晓</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叶  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2017R423053</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创建社区医学生志愿者服务工作室的实践研究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牛  丹</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朱雪娇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2017R423054</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一种智能化多药液输液装置的临床应用</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陈亚明</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曹梅娟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2017R423055</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基于CRS-R量表汉化版本中口部运动/言语</w:t>
            </w:r>
          </w:p>
          <w:p>
            <w:pPr>
              <w:pStyle w:val="2"/>
              <w:rPr>
                <w:rFonts w:hint="eastAsia"/>
              </w:rPr>
            </w:pPr>
            <w:r>
              <w:rPr>
                <w:rFonts w:hint="eastAsia" w:ascii="仿宋_GB2312" w:hAnsi="Calibri" w:eastAsia="仿宋_GB2312"/>
                <w:szCs w:val="21"/>
              </w:rPr>
              <w:t>功能子量表的语言范式的研究与推广</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  静</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医学院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狄海波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2017R423056</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拇指课堂</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傅凯琪</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杭州国际服务工程学院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胡保坤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2017R423057</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基于嵌入式系统的智能钓鱼竿</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陈小磊</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杭州国际服务工程学院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李秀梅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2017R423058</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新型脱氮技术在含纳米零价铁高氨氮废水处理中的应用</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徐佳佳</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金仁村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2017R423059</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转录因子GmMYB107对大豆耐盐响应的调控机制研究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朱成敏</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皮二旭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2017R423060</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浙江特产常山胡柚“祖宗树”种质资源的繁殖保存</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及其优质基因的挖掘</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周世怡</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向太和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2017R423061</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褐飞虱胰岛素信号通路相关基因调节几丁质合成研究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王莎莎</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唐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2017R423062</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重金属镉对白纹伊蚊Hsp70基因表达的影响</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许敏赟</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王世贵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仿宋_GB2312" w:eastAsia="仿宋_GB2312" w:cs="仿宋_GB2312"/>
                <w:color w:val="000000"/>
                <w:kern w:val="0"/>
                <w:szCs w:val="21"/>
              </w:rPr>
            </w:pPr>
            <w:r>
              <w:rPr>
                <w:rFonts w:hint="eastAsia" w:ascii="仿宋_GB2312" w:hAnsi="宋体" w:eastAsia="仿宋_GB2312" w:cs="仿宋_GB2312"/>
                <w:color w:val="000000"/>
                <w:kern w:val="0"/>
                <w:szCs w:val="21"/>
                <w:lang w:bidi="ar"/>
              </w:rPr>
              <w:t>2017R423063</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对二甲苯影响神经干细胞增殖机制的研究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洪金炜</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沈万华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lang w:bidi="ar"/>
              </w:rPr>
              <w:t>2017R423064</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星形胶质细胞转化为iOPCs治疗髓鞘损伤的研究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何怡果</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邱猛生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lang w:bidi="ar"/>
              </w:rPr>
              <w:t>2017R423065</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牛粪、蚓粪及其生物炭对Pb2+、Cd2+的去除特性差异及机制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吕纪康</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朱维琴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lang w:bidi="ar"/>
              </w:rPr>
              <w:t>2017R423066</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农村污水主流厌氧氨氧化脱氮新工艺</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许轶群</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施曼玲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lang w:bidi="ar"/>
              </w:rPr>
              <w:t>2017R423067</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水稻高温敏感调控因子hs1的功能解析</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张和云</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陈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lang w:bidi="ar"/>
              </w:rPr>
              <w:t>2017R423068</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研究酸浆属药食两用植物药效成分代谢途径的VIGS技术平台的建立</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张建楠</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生命与环境科学学院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  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rPr>
            </w:pPr>
            <w:r>
              <w:rPr>
                <w:rFonts w:hint="eastAsia" w:ascii="仿宋_GB2312" w:hAnsi="宋体" w:eastAsia="仿宋_GB2312" w:cs="仿宋_GB2312"/>
                <w:color w:val="000000"/>
                <w:kern w:val="0"/>
                <w:szCs w:val="21"/>
                <w:lang w:bidi="ar"/>
              </w:rPr>
              <w:t>2017R423069</w:t>
            </w:r>
          </w:p>
        </w:tc>
        <w:tc>
          <w:tcPr>
            <w:tcW w:w="6393"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新型反应性梳形聚合物的制备及其对不相容共混物的增容研究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朱琰超</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材料与化学化工学院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李勇进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2017R423070</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过渡金属催化下C-N键的形成研究及其在杂环合成中应用</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王珊露</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材料与化学化工学院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  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2017R423071</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利用线性光学实验平台进行量子信道模拟</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钱佳丽</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理学院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孙  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2017R423072</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水质监测叶绿素a遥感产品研发</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陶  然</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理学院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张登荣</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谢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2017R423073</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基于GOCI影像波段特征的浙江省PM2.5遥感建模研究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吴  琦</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理学院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于之锋</w:t>
            </w:r>
          </w:p>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周  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2017R423074</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东亚-澳大利亚候鸟迁徙通道湿地时空变化</w:t>
            </w:r>
          </w:p>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与禽流感暴发的关系研究</w:t>
            </w:r>
          </w:p>
        </w:tc>
        <w:tc>
          <w:tcPr>
            <w:tcW w:w="1204" w:type="dxa"/>
            <w:gridSpan w:val="2"/>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胡越凯</w:t>
            </w:r>
          </w:p>
        </w:tc>
        <w:tc>
          <w:tcPr>
            <w:tcW w:w="1204" w:type="dxa"/>
            <w:gridSpan w:val="2"/>
            <w:vAlign w:val="top"/>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理学院</w:t>
            </w:r>
          </w:p>
        </w:tc>
        <w:tc>
          <w:tcPr>
            <w:tcW w:w="1204" w:type="dxa"/>
            <w:vAlign w:val="center"/>
          </w:tcPr>
          <w:p>
            <w:pPr>
              <w:pStyle w:val="3"/>
              <w:spacing w:line="280" w:lineRule="exact"/>
              <w:ind w:left="0" w:firstLine="0" w:firstLineChars="0"/>
              <w:jc w:val="center"/>
              <w:rPr>
                <w:rFonts w:hint="eastAsia" w:ascii="仿宋_GB2312" w:hAnsi="Calibri" w:eastAsia="仿宋_GB2312"/>
                <w:szCs w:val="21"/>
              </w:rPr>
            </w:pPr>
            <w:r>
              <w:rPr>
                <w:rFonts w:hint="eastAsia" w:ascii="仿宋_GB2312" w:hAnsi="Calibri" w:eastAsia="仿宋_GB2312"/>
                <w:szCs w:val="21"/>
              </w:rPr>
              <w:t>徐俊锋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2017R423075</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基于PE和MACD指标的触发式基金择时不定额的研究</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于祥雨</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Calibri" w:eastAsia="仿宋_GB2312"/>
                <w:szCs w:val="21"/>
              </w:rPr>
              <w:t>理学院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韩丹夫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2017R423076</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广场舞健身效果的研究</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肖  蝶</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体育与健康学院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徐玉明</w:t>
            </w:r>
          </w:p>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徐  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2017R423077</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茶染在杭州的开发与应用前景探究</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张  静</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美术学院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孙  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bookmarkStart w:id="0" w:name="_GoBack"/>
            <w:r>
              <w:rPr>
                <w:rFonts w:hint="eastAsia" w:ascii="仿宋_GB2312" w:hAnsi="宋体" w:eastAsia="仿宋_GB2312" w:cs="仿宋_GB2312"/>
                <w:color w:val="000000"/>
                <w:kern w:val="0"/>
                <w:szCs w:val="21"/>
                <w:lang w:bidi="ar"/>
              </w:rPr>
              <w:t>2017R423078</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基于因子图模型的社交网络多任务预测算法研究</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林  松</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阿里巴巴商学院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刘  闯</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2017R423079</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面向稀疏大数据的个性化推荐算法研究</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邱  念</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阿里巴巴商学院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张子柯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409" w:type="dxa"/>
            <w:gridSpan w:val="7"/>
            <w:vAlign w:val="top"/>
          </w:tcPr>
          <w:p>
            <w:pPr>
              <w:spacing w:line="280" w:lineRule="exact"/>
              <w:jc w:val="center"/>
              <w:textAlignment w:val="center"/>
              <w:rPr>
                <w:rFonts w:hint="eastAsia" w:ascii="仿宋_GB2312" w:hAnsi="仿宋_GB2312" w:eastAsia="仿宋_GB2312" w:cs="仿宋_GB2312"/>
                <w:szCs w:val="21"/>
              </w:rPr>
            </w:pPr>
            <w:r>
              <w:rPr>
                <w:rFonts w:hint="eastAsia" w:ascii="仿宋_GB2312" w:hAnsi="宋体" w:eastAsia="仿宋_GB2312" w:cs="仿宋_GB2312"/>
                <w:b/>
                <w:bCs/>
                <w:color w:val="000000"/>
                <w:kern w:val="0"/>
                <w:szCs w:val="21"/>
              </w:rPr>
              <w:t>大学生创新创业孵化项目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2017R423080</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“疆爱传递”公益创业</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李  钎</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仿宋_GB2312" w:eastAsia="仿宋_GB2312"/>
                <w:sz w:val="24"/>
                <w:szCs w:val="21"/>
              </w:rPr>
              <w:t>教育学院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蒋璐敏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2017R423081</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苦蘵毛状根诱导培养体系的研究</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廖昕玥</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ascii="仿宋_GB2312" w:hAnsi="仿宋_GB2312" w:eastAsia="仿宋_GB2312"/>
                <w:sz w:val="24"/>
                <w:szCs w:val="21"/>
              </w:rPr>
              <w:t>生命与环境科学学院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王慧中</w:t>
            </w:r>
          </w:p>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展晓日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2017R423082</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三种典型纳米材料浸润诱导的呼吸道上皮细胞的</w:t>
            </w:r>
          </w:p>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炎性相关动态行为学特征与分子机理研究</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陆香君</w:t>
            </w:r>
          </w:p>
        </w:tc>
        <w:tc>
          <w:tcPr>
            <w:tcW w:w="1204" w:type="dxa"/>
            <w:gridSpan w:val="2"/>
            <w:vAlign w:val="top"/>
          </w:tcPr>
          <w:p>
            <w:pPr>
              <w:spacing w:line="280" w:lineRule="exact"/>
              <w:jc w:val="center"/>
              <w:textAlignment w:val="center"/>
              <w:rPr>
                <w:rFonts w:ascii="仿宋_GB2312" w:hAnsi="宋体" w:eastAsia="仿宋_GB2312" w:cs="仿宋_GB2312"/>
                <w:color w:val="000000"/>
                <w:kern w:val="0"/>
                <w:szCs w:val="21"/>
                <w:lang w:bidi="ar"/>
              </w:rPr>
            </w:pPr>
          </w:p>
          <w:p>
            <w:pPr>
              <w:tabs>
                <w:tab w:val="left" w:pos="555"/>
              </w:tabs>
              <w:rPr>
                <w:rFonts w:hint="eastAsia" w:ascii="仿宋_GB2312" w:hAnsi="宋体" w:eastAsia="仿宋_GB2312" w:cs="仿宋_GB2312"/>
                <w:szCs w:val="21"/>
                <w:lang w:bidi="ar"/>
              </w:rPr>
            </w:pPr>
            <w:r>
              <w:rPr>
                <w:rFonts w:ascii="仿宋_GB2312" w:hAnsi="宋体" w:eastAsia="仿宋_GB2312" w:cs="仿宋_GB2312"/>
                <w:szCs w:val="21"/>
                <w:lang w:bidi="ar"/>
              </w:rPr>
              <w:tab/>
            </w:r>
            <w:r>
              <w:rPr>
                <w:rFonts w:ascii="仿宋_GB2312" w:hAnsi="仿宋_GB2312" w:eastAsia="仿宋_GB2312"/>
                <w:sz w:val="24"/>
                <w:szCs w:val="21"/>
              </w:rPr>
              <w:t>生命与环境科学学院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张杭君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2017R423083</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基于导购模式的众包配送及网购售后服务平台</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林  爽</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ascii="仿宋_GB2312" w:hAnsi="仿宋_GB2312" w:eastAsia="仿宋_GB2312"/>
                <w:sz w:val="24"/>
                <w:szCs w:val="21"/>
              </w:rPr>
              <w:t>生命与环境科学学院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金岳祥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2017R423084</w:t>
            </w:r>
          </w:p>
        </w:tc>
        <w:tc>
          <w:tcPr>
            <w:tcW w:w="6393"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“画笔下的最美乡村”——墙绘艺术在浙江新农村建设中的运用与推广</w:t>
            </w:r>
          </w:p>
        </w:tc>
        <w:tc>
          <w:tcPr>
            <w:tcW w:w="1204" w:type="dxa"/>
            <w:gridSpan w:val="2"/>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钱利颖</w:t>
            </w:r>
          </w:p>
        </w:tc>
        <w:tc>
          <w:tcPr>
            <w:tcW w:w="1204" w:type="dxa"/>
            <w:gridSpan w:val="2"/>
            <w:vAlign w:val="top"/>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仿宋_GB2312" w:eastAsia="仿宋_GB2312"/>
                <w:sz w:val="24"/>
                <w:szCs w:val="21"/>
              </w:rPr>
              <w:t>美术学院</w:t>
            </w:r>
          </w:p>
        </w:tc>
        <w:tc>
          <w:tcPr>
            <w:tcW w:w="1204" w:type="dxa"/>
            <w:vAlign w:val="center"/>
          </w:tcPr>
          <w:p>
            <w:pPr>
              <w:spacing w:line="280" w:lineRule="exact"/>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许剑春</w:t>
            </w:r>
          </w:p>
        </w:tc>
      </w:tr>
    </w:tbl>
    <w:p>
      <w:pPr>
        <w:rPr>
          <w:rFonts w:hint="eastAsia" w:ascii="宋体" w:hAnsi="宋体" w:cs="宋体"/>
          <w:sz w:val="18"/>
          <w:szCs w:val="18"/>
        </w:rPr>
      </w:pPr>
    </w:p>
    <w:p>
      <w:pPr>
        <w:rPr>
          <w:rFonts w:hint="eastAsia" w:ascii="宋体" w:hAnsi="宋体" w:cs="宋体"/>
          <w:sz w:val="18"/>
          <w:szCs w:val="18"/>
        </w:rPr>
      </w:pPr>
    </w:p>
    <w:p>
      <w:pPr>
        <w:rPr>
          <w:rFonts w:hint="eastAsia" w:ascii="宋体" w:hAnsi="宋体" w:cs="宋体"/>
          <w:sz w:val="18"/>
          <w:szCs w:val="18"/>
        </w:rPr>
      </w:pPr>
    </w:p>
    <w:p>
      <w:pPr>
        <w:rPr>
          <w:rFonts w:hint="eastAsia" w:ascii="宋体" w:hAnsi="宋体" w:cs="宋体"/>
          <w:sz w:val="18"/>
          <w:szCs w:val="18"/>
        </w:rPr>
      </w:pPr>
    </w:p>
    <w:p>
      <w:pPr>
        <w:rPr>
          <w:rFonts w:hint="eastAsia" w:ascii="宋体" w:hAnsi="宋体" w:cs="宋体"/>
          <w:sz w:val="21"/>
          <w:szCs w:val="21"/>
          <w:lang w:val="en-US" w:eastAsia="zh-CN"/>
        </w:rPr>
      </w:pPr>
      <w:r>
        <w:rPr>
          <w:rFonts w:hint="eastAsia" w:ascii="宋体" w:hAnsi="宋体" w:cs="宋体"/>
          <w:sz w:val="21"/>
          <w:szCs w:val="21"/>
          <w:lang w:val="en-US" w:eastAsia="zh-CN"/>
        </w:rPr>
        <w:t xml:space="preserve">                                                               共青团员杭州师范大学委员会</w:t>
      </w:r>
    </w:p>
    <w:p>
      <w:r>
        <w:rPr>
          <w:rFonts w:hint="eastAsia" w:ascii="宋体" w:hAnsi="宋体" w:cs="宋体"/>
          <w:sz w:val="21"/>
          <w:szCs w:val="21"/>
          <w:lang w:val="en-US" w:eastAsia="zh-CN"/>
        </w:rPr>
        <w:t xml:space="preserve">                                                                     二〇一七年五月三十日</w:t>
      </w:r>
    </w:p>
    <w:sectPr>
      <w:pgSz w:w="11907" w:h="16840"/>
      <w:pgMar w:top="1304" w:right="1247"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60A64"/>
    <w:rsid w:val="55260A6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uiPriority w:val="0"/>
    <w:pPr>
      <w:ind w:left="540" w:firstLine="313" w:firstLineChars="149"/>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2018-03-21T13:06:00Z</dcterms:created>
  <dc:creator>john</dc:creator>
  <cp:lastModifiedBy>john</cp:lastModifiedBy>
  <dcterms:modified xsi:type="dcterms:W3CDTF">2018-03-21T13:07:49Z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