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ind w:firstLine="420"/>
        <w:jc w:val="center"/>
        <w:rPr>
          <w:rFonts w:hint="eastAsia" w:ascii="华文中宋" w:hAnsi="华文中宋" w:eastAsia="华文中宋" w:cstheme="minorBidi"/>
          <w:b/>
          <w:bCs/>
          <w:color w:val="000000"/>
          <w:spacing w:val="15"/>
          <w:kern w:val="0"/>
          <w:sz w:val="36"/>
          <w:szCs w:val="36"/>
          <w:lang w:val="en-US" w:eastAsia="zh-CN" w:bidi="ar-SA"/>
        </w:rPr>
      </w:pPr>
      <w:r>
        <w:rPr>
          <w:rFonts w:hint="eastAsia" w:ascii="华文中宋" w:hAnsi="华文中宋" w:eastAsia="华文中宋" w:cstheme="minorBidi"/>
          <w:b/>
          <w:bCs/>
          <w:color w:val="000000"/>
          <w:spacing w:val="15"/>
          <w:kern w:val="0"/>
          <w:sz w:val="36"/>
          <w:szCs w:val="36"/>
          <w:lang w:val="en-US" w:eastAsia="zh-CN" w:bidi="ar-SA"/>
        </w:rPr>
        <w:t>杭州师范大学-2022浙江省大学生科技创新活动计划暨新苗人才计划立项结果</w:t>
      </w:r>
    </w:p>
    <w:tbl>
      <w:tblPr>
        <w:tblStyle w:val="2"/>
        <w:tblW w:w="11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5440"/>
        <w:gridCol w:w="1056"/>
        <w:gridCol w:w="1236"/>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592" w:type="dxa"/>
            <w:vAlign w:val="center"/>
          </w:tcPr>
          <w:p>
            <w:pPr>
              <w:jc w:val="center"/>
              <w:rPr>
                <w:rFonts w:ascii="仿宋" w:hAnsi="仿宋" w:eastAsia="仿宋" w:cs="仿宋"/>
                <w:b/>
                <w:bCs/>
                <w:kern w:val="0"/>
                <w:szCs w:val="21"/>
              </w:rPr>
            </w:pPr>
            <w:r>
              <w:rPr>
                <w:rFonts w:hint="eastAsia" w:ascii="仿宋" w:hAnsi="仿宋" w:eastAsia="仿宋" w:cs="仿宋"/>
                <w:b/>
                <w:bCs/>
                <w:kern w:val="0"/>
                <w:szCs w:val="21"/>
              </w:rPr>
              <w:t>序号</w:t>
            </w:r>
          </w:p>
        </w:tc>
        <w:tc>
          <w:tcPr>
            <w:tcW w:w="5440" w:type="dxa"/>
            <w:vAlign w:val="center"/>
          </w:tcPr>
          <w:p>
            <w:pPr>
              <w:jc w:val="center"/>
              <w:rPr>
                <w:rFonts w:ascii="仿宋" w:hAnsi="仿宋" w:eastAsia="仿宋" w:cs="仿宋"/>
                <w:b/>
                <w:bCs/>
                <w:kern w:val="0"/>
                <w:szCs w:val="21"/>
              </w:rPr>
            </w:pPr>
            <w:r>
              <w:rPr>
                <w:rFonts w:hint="eastAsia" w:ascii="仿宋" w:hAnsi="仿宋" w:eastAsia="仿宋" w:cs="仿宋"/>
                <w:b/>
                <w:bCs/>
                <w:kern w:val="0"/>
                <w:szCs w:val="21"/>
              </w:rPr>
              <w:t>项  目  名  称</w:t>
            </w:r>
          </w:p>
        </w:tc>
        <w:tc>
          <w:tcPr>
            <w:tcW w:w="1056" w:type="dxa"/>
            <w:vAlign w:val="center"/>
          </w:tcPr>
          <w:p>
            <w:pPr>
              <w:jc w:val="center"/>
              <w:rPr>
                <w:rFonts w:ascii="仿宋" w:hAnsi="仿宋" w:eastAsia="仿宋" w:cs="仿宋"/>
                <w:b/>
                <w:bCs/>
                <w:kern w:val="0"/>
                <w:szCs w:val="21"/>
              </w:rPr>
            </w:pPr>
            <w:r>
              <w:rPr>
                <w:rFonts w:hint="eastAsia" w:ascii="仿宋" w:hAnsi="仿宋" w:eastAsia="仿宋" w:cs="仿宋"/>
                <w:b/>
                <w:bCs/>
                <w:kern w:val="0"/>
                <w:szCs w:val="21"/>
              </w:rPr>
              <w:t>负责人</w:t>
            </w:r>
          </w:p>
        </w:tc>
        <w:tc>
          <w:tcPr>
            <w:tcW w:w="1236" w:type="dxa"/>
            <w:vAlign w:val="center"/>
          </w:tcPr>
          <w:p>
            <w:pPr>
              <w:jc w:val="center"/>
              <w:rPr>
                <w:rFonts w:ascii="仿宋" w:hAnsi="仿宋" w:eastAsia="仿宋" w:cs="仿宋"/>
                <w:b/>
                <w:bCs/>
                <w:kern w:val="0"/>
                <w:szCs w:val="21"/>
              </w:rPr>
            </w:pPr>
            <w:r>
              <w:rPr>
                <w:rFonts w:hint="eastAsia" w:ascii="仿宋" w:hAnsi="仿宋" w:eastAsia="仿宋" w:cs="仿宋"/>
                <w:b/>
                <w:bCs/>
                <w:kern w:val="0"/>
                <w:szCs w:val="21"/>
              </w:rPr>
              <w:t>指导教师</w:t>
            </w:r>
          </w:p>
        </w:tc>
        <w:tc>
          <w:tcPr>
            <w:tcW w:w="1752" w:type="dxa"/>
            <w:vAlign w:val="center"/>
          </w:tcPr>
          <w:p>
            <w:pPr>
              <w:jc w:val="center"/>
              <w:rPr>
                <w:rFonts w:ascii="仿宋" w:hAnsi="仿宋" w:eastAsia="仿宋" w:cs="仿宋"/>
                <w:b/>
                <w:bCs/>
                <w:kern w:val="0"/>
                <w:szCs w:val="21"/>
              </w:rPr>
            </w:pPr>
            <w:r>
              <w:rPr>
                <w:rFonts w:hint="eastAsia" w:ascii="仿宋" w:hAnsi="仿宋" w:eastAsia="仿宋" w:cs="仿宋"/>
                <w:b/>
                <w:bCs/>
                <w:kern w:val="0"/>
                <w:szCs w:val="21"/>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076" w:type="dxa"/>
            <w:gridSpan w:val="5"/>
            <w:vAlign w:val="center"/>
          </w:tcPr>
          <w:p>
            <w:pPr>
              <w:jc w:val="center"/>
              <w:rPr>
                <w:rFonts w:ascii="仿宋" w:hAnsi="仿宋" w:eastAsia="仿宋" w:cs="仿宋"/>
                <w:b/>
                <w:bCs/>
                <w:kern w:val="0"/>
                <w:szCs w:val="21"/>
              </w:rPr>
            </w:pPr>
            <w:r>
              <w:rPr>
                <w:rFonts w:hint="eastAsia" w:ascii="仿宋" w:hAnsi="仿宋" w:eastAsia="仿宋" w:cs="仿宋"/>
                <w:b/>
                <w:bCs/>
                <w:kern w:val="0"/>
                <w:szCs w:val="21"/>
              </w:rPr>
              <w:t>大学生科技创新项目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2022R426A001</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后疫情时代幼儿园节日课程的开发与实施——基于浙江省100所幼儿园的分析</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戴婷婷</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pacing w:val="0"/>
                <w:kern w:val="0"/>
                <w:szCs w:val="21"/>
                <w:fitText w:val="630" w:id="1138775154"/>
              </w:rPr>
              <w:t>高振宇</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冯  慧</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经亨颐教育学院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2022R426A002</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浙江省红色文化融入中小学教育的实践机制研究</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徐子乐</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徐  洁</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李  丽</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杨  茜</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经亨颐教育学院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2022R426A003</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儿童哲学视角下小学绘本教学中的审辩式提问研究</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朱彩霞</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高振宇</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贾群生</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经亨颐教育学院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2022R426A004</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新时代高校志愿者信用体系建设研究—以亚运时杭州某高校为例</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陈骞杰</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张楚黛</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经亨颐教育学院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2022R426A005</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通“主”达艺——乡村艺术教育定向帮扶中的范式探索与实践项目</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王日出</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周振宇</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经亨颐教育学院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2022R426A006</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 xml:space="preserve">教育扶贫背景下的农村贫困学子教育抱负传递问题及对策研究 </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戚雨轩</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贾群生</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曾文婧</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经亨颐教育学院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2022R426A007</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 xml:space="preserve">自闭症谱系障碍儿童环境文字阅读的眼动特征及干预效果词汇习得的干预效果  </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张景淳</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王  薇</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经亨颐教育学院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2022R426A008</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 xml:space="preserve">“乡村振兴”背景下乡村小学教师的教育信念研究 </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方一涵</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贾群生</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梅笑漫</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经亨颐教育学院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2022R426A009</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共同商量·共同富裕：习近平总书记在小古城村暨基层治理思想与实践研究</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王佳卉</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丁贤勇</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姜建忠</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经亨颐教育学院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2022R426A010</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基于景观格局变化的杭州市未来城市热岛格局多尺度预测研究</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沈楚慧</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侯  浩</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胡潭高</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信息科学与技术学院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2022R426A011</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 xml:space="preserve">基于Swift编程语言的少儿信息学课程体系的研究与实践  </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洪源清</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陈  翔</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杨鹏飞</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信息科学与技术学院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2022R426A012</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基于VIIRS的长三角城市群扩展时空及房屋空置率空间分异格局分析</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颜洋洋</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周  斌</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信息科学与技术学院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2022R426A013</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主动控盐的智能健康管理系统研究</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陈嘉伟</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袁贞明</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张  佳</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信息科学与技术学院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2022R426A014</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大麦WRKY转录因子抗环境胁迫研究</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滕杨杨</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张  弦</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生命与环境科学学院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2022R426A015</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微生物源大黄酸对稻瘟病菌的抑菌机制研究及产品开发</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盛  悦</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白雪莲</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生命与环境科学学院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2022R426A016</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基于土壤线虫群落评价不同处理工艺对垃圾渗滤液生态毒性的消减作用</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杨芳宁</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陈慧丽</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生命与环境科学学院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2022R426A017</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紫金牛内生菌抑菌活性研究</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叶昕培</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石陆娥</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生命与环境科学学院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2022R426A018</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基于BDC模式与深度学习的足部数据分析与研究</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陈祥豪</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佘  莉</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黄  盈</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阿里巴巴商学院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2022R426A019</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易殿——跨境电商一站式服务商</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蔡书迪</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柯丽敏</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阿里巴巴商学院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2022R426A020</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基于政产研创农协同创新的时令果蔬产业化发展研究 ——以兰溪市马涧镇杨梅产业为例</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郑祎月</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余红剑</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阿里巴巴商学院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2022R426A021</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基于含硒冠醚的智能离子通道设计</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鲁轶楠</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刘俊秋</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孙鸿程</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材料与化学化工学院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2022R426A022</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手性亚胺分子笼的合成及其应用研究</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金迦南</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李世军</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材料与化学化工学院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2022R426A023</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非常规相TMDs类光催化剂制备在CO2还原中的应用</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李晨瑶</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徐伟明</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材料与化学化工学院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2022R426A024</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刑事申诉引入第三方审查机制研究</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杨  可</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汪红飞</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沈钧儒法学院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2022R426A025</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影评类短视频的著作权问题研究</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朱超君</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袁杏桃</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沈钧儒法学院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2022R426A026</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家事领域枫桥经验——</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浙江“富春家事微法庭”实证研究</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周  旋</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余钊飞</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沈钧儒法学院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2022R426A027</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榄香烯在小鼠结肠炎癌转化中的作用机制研究</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陈炫燃</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刘水平</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附属医学院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2022R426A028</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CRISPR-Cas9介导的靶向血小板的血友病B基因治疗研究</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赵陈辰</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章国卫</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附属医学院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2022R426A029</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百年党史思想资源在浙江省共同富裕建设中的内嵌与厚植研究：基于“三个地”的思想资源脉络</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陈  恺</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张孝廷</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公共管理学院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2022R426A030</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回归与适应：城归青年乡土社会适应性的挑战与应对——基于全国29省2300位城归青年的调查研究</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蔡欣濛</w:t>
            </w:r>
          </w:p>
        </w:tc>
        <w:tc>
          <w:tcPr>
            <w:tcW w:w="12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沈费伟</w:t>
            </w:r>
          </w:p>
        </w:tc>
        <w:tc>
          <w:tcPr>
            <w:tcW w:w="175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公共管理学院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2022R426A031</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 xml:space="preserve">老年群体中智能手机使用扩散因素及路径研究——基于浙江省部分城市的调查数据 </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赵润轩</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张旭升</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公共管理学院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2022R426A032</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基于人工智能的大学生抑郁症“治未病”与健康管理系统研究与应用</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陈鑫</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潘志庚</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许亮文</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公共卫生学院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2022R426A033</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基于多源数据的森林火灾遥感监控系统设计</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陈哲宇</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方美红</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于之锋</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周  斌</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哈尔科夫学院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2022R426A034</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积极老龄化背景下代际沟通感知与老年人主观幸福感的相关性研究</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凌  培</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朱雪娇</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护理学院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2022R426A035</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丝状不产氧光合细菌遗传转化体系的建立</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夏立志</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 xml:space="preserve">徐晓玲 </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刘  兵</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沈洁洁</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基础医学院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2022R426A036</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口腔细胞端粒长 度检测的研究和 应用</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邱卓子淇</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 xml:space="preserve">丛羽生 </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王  苗</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基础医学院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2022R426A037</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后疫情时代数字化赋能“地摊经济”发展效益研究——以杭州为例</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朱逸娇</w:t>
            </w:r>
          </w:p>
        </w:tc>
        <w:tc>
          <w:tcPr>
            <w:tcW w:w="1236"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何秋琴</w:t>
            </w:r>
          </w:p>
        </w:tc>
        <w:tc>
          <w:tcPr>
            <w:tcW w:w="1752"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经济学院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2022R426A038</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“非遗+”创美美育课堂的应用与推广</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李彦坤</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 xml:space="preserve">杜真江 </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 xml:space="preserve">毛勇梅 </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叶剑波</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2022R426A039</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 xml:space="preserve"> 小学生硬笔书法教材比较研究</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王怡欣</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毛勇梅</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叶剑波</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2022R426A040</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基于PID算法的视觉识别及其机械臂控制技术研究</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叶  繁</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倪  虹</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钱江学院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2022R426A041</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 xml:space="preserve">基于智能化全景感知的多机互联电缆敷设系统的研发  </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熊  韬</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倪  虹</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钱江学院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2022R426A042</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基于机器视觉与自主行驶策略的医院病房送药机器人设计</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冯  宁</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安  康</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钱江学院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2022R426A043</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课堂教学或研学活动：浙江省中小学“四史”教育状况调研</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许  佳</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周东华</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人文学院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2022R426A044</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变迁、抉择与新生——快递员群体生命口述史</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茹小容</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胡悦晗</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人文学院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2022R426A045</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 xml:space="preserve">让宋韵成为浙江文化金名片：博物馆宋代珍品文物调研与文化创意设计新路径  </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唐渟渟</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姚永辉</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人文学院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2022R426A046</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困境与出路：“三孩”政策下“未育青年”的群体画像</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何怡佳</w:t>
            </w:r>
          </w:p>
        </w:tc>
        <w:tc>
          <w:tcPr>
            <w:tcW w:w="1236" w:type="dxa"/>
            <w:vAlign w:val="center"/>
          </w:tcPr>
          <w:p>
            <w:pPr>
              <w:widowControl/>
              <w:jc w:val="center"/>
              <w:textAlignment w:val="center"/>
              <w:rPr>
                <w:rFonts w:ascii="仿宋" w:hAnsi="仿宋" w:eastAsia="仿宋" w:cs="仿宋"/>
                <w:color w:val="000000"/>
                <w:szCs w:val="21"/>
              </w:rPr>
            </w:pPr>
            <w:r>
              <w:rPr>
                <w:rFonts w:ascii="仿宋" w:hAnsi="仿宋" w:eastAsia="仿宋" w:cs="仿宋"/>
                <w:color w:val="000000"/>
                <w:szCs w:val="21"/>
              </w:rPr>
              <w:t>陈晓玲</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人文学院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2022R426A047</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从“痊愈”走向“全愈”：全国麻风休养员口述史研究</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王展羽</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周东华</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人文学院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2022R426A048</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石榴红：少数民族城市适应公益服务模式探究</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余菀恬</w:t>
            </w:r>
          </w:p>
        </w:tc>
        <w:tc>
          <w:tcPr>
            <w:tcW w:w="12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林  航</w:t>
            </w:r>
          </w:p>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刘华章</w:t>
            </w:r>
          </w:p>
        </w:tc>
        <w:tc>
          <w:tcPr>
            <w:tcW w:w="175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人文学院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2022R426A049</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建团100周年背景下原创红色校园戏剧育人价值和实践模式的探究</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朱珊珊</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张  磊</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公共卫生学院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2022R426A050</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乡村振兴战略背景下杭州市村民对乡村文化产业建设满意度的调查和分析</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包娜萍</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夏  羽</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黄  初</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数学学院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2022R426A051</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浙江高校大学生跑步APP锻炼失范行为的影响机制——基于结构方程模型的实证</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李秀琪</w:t>
            </w:r>
          </w:p>
        </w:tc>
        <w:tc>
          <w:tcPr>
            <w:tcW w:w="12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张海红</w:t>
            </w:r>
          </w:p>
        </w:tc>
        <w:tc>
          <w:tcPr>
            <w:tcW w:w="175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2022R426A052</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长期太极拳锻炼对老年人骨骼肌衰减效果的影响</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姜  成</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李旭鸿</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2022R426A053</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亚运背景下体育赛事营销对城市品牌知名度的影响机制研究</w:t>
            </w:r>
          </w:p>
        </w:tc>
        <w:tc>
          <w:tcPr>
            <w:tcW w:w="1056" w:type="dxa"/>
            <w:vAlign w:val="center"/>
          </w:tcPr>
          <w:p>
            <w:pPr>
              <w:widowControl/>
              <w:jc w:val="center"/>
              <w:textAlignment w:val="center"/>
              <w:rPr>
                <w:rFonts w:ascii="仿宋" w:hAnsi="仿宋" w:eastAsia="仿宋" w:cs="仿宋"/>
                <w:color w:val="000000"/>
                <w:szCs w:val="21"/>
              </w:rPr>
            </w:pPr>
            <w:r>
              <w:rPr>
                <w:rFonts w:ascii="仿宋" w:hAnsi="仿宋" w:eastAsia="仿宋" w:cs="仿宋"/>
                <w:color w:val="000000"/>
                <w:szCs w:val="21"/>
              </w:rPr>
              <w:t>陈于恒</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罗建英</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2022R426A054</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太极拳练习缓解大学生后疫情时代学习焦虑的实验研究</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赵雨欣</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徐玉明</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2022R426A055</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韩潮不寒——中韩文化传播的纽带</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朱韬铮</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金龙军</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乔宇博</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2022R426A056</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新文科背景下高校外语专业学生复合型技能的意识、现状和对策研究</w:t>
            </w:r>
          </w:p>
        </w:tc>
        <w:tc>
          <w:tcPr>
            <w:tcW w:w="1056" w:type="dxa"/>
            <w:vAlign w:val="center"/>
          </w:tcPr>
          <w:p>
            <w:pPr>
              <w:widowControl/>
              <w:jc w:val="center"/>
              <w:textAlignment w:val="center"/>
              <w:rPr>
                <w:rFonts w:ascii="仿宋" w:hAnsi="仿宋" w:eastAsia="仿宋" w:cs="仿宋"/>
                <w:color w:val="000000"/>
                <w:szCs w:val="21"/>
              </w:rPr>
            </w:pPr>
            <w:r>
              <w:rPr>
                <w:rFonts w:ascii="仿宋" w:hAnsi="仿宋" w:eastAsia="仿宋" w:cs="仿宋"/>
                <w:color w:val="000000"/>
                <w:szCs w:val="21"/>
              </w:rPr>
              <w:t>钱佳蓥</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孙立春</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2022R426A057</w:t>
            </w:r>
          </w:p>
        </w:tc>
        <w:tc>
          <w:tcPr>
            <w:tcW w:w="5440" w:type="dxa"/>
            <w:vAlign w:val="center"/>
          </w:tcPr>
          <w:p>
            <w:pPr>
              <w:widowControl/>
              <w:jc w:val="center"/>
              <w:textAlignment w:val="center"/>
              <w:rPr>
                <w:rFonts w:ascii="仿宋" w:hAnsi="仿宋" w:eastAsia="仿宋" w:cs="仿宋"/>
                <w:color w:val="000000"/>
                <w:szCs w:val="21"/>
              </w:rPr>
            </w:pPr>
            <w:r>
              <w:rPr>
                <w:rFonts w:ascii="仿宋" w:hAnsi="仿宋" w:eastAsia="仿宋" w:cs="仿宋"/>
                <w:color w:val="000000"/>
                <w:szCs w:val="21"/>
              </w:rPr>
              <w:t xml:space="preserve">乡村振兴视阈下红色资源的创意转化路径及优化策略——基于浙江省10个红色资源旅游教育基地的调研  </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史欣媛</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周微微</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秦东旭</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王斐敏</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文化创意与传媒学院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2022R426A058</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数“智”文化礼堂——推进乡村精神共富新实践</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翁  欣</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王斐敏</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秦东旭</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周微微</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文化创意与传媒学院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2022R426A059</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Li掺杂对CsPbBr3薄膜光电特性可控调节的研究</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黄  禹</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毛宏颖</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物理学院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2022R426A060</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一种多功能单摆实验装置</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肖欣怡</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杨旭昕</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物理学院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2022R426A061</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锰酞菁分子电子结构和自旋态的研究</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陈颖楠</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钟建强</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物理学院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2022R426A062</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一种负压状态下可涂药式拔罐器的研发</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陆思敏</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陈功星</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谢  恬</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2022R426A063</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壳聚糖作为难溶性抗癌药物递送材料的计算机模拟和分子设计研究</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孙俊莉</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沈嘉炜</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pacing w:val="105"/>
                <w:kern w:val="0"/>
                <w:szCs w:val="21"/>
                <w:fitText w:val="630" w:id="1678591361"/>
              </w:rPr>
              <w:t>郑</w:t>
            </w:r>
            <w:r>
              <w:rPr>
                <w:rFonts w:hint="eastAsia" w:ascii="仿宋" w:hAnsi="仿宋" w:eastAsia="仿宋" w:cs="仿宋"/>
                <w:color w:val="000000"/>
                <w:spacing w:val="0"/>
                <w:kern w:val="0"/>
                <w:szCs w:val="21"/>
                <w:fitText w:val="630" w:id="1678591361"/>
              </w:rPr>
              <w:t>威</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沈奇英</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76" w:type="dxa"/>
            <w:gridSpan w:val="5"/>
            <w:vAlign w:val="center"/>
          </w:tcPr>
          <w:p>
            <w:pPr>
              <w:widowControl/>
              <w:jc w:val="center"/>
              <w:textAlignment w:val="center"/>
              <w:rPr>
                <w:rFonts w:ascii="仿宋" w:hAnsi="仿宋" w:eastAsia="仿宋" w:cs="仿宋"/>
                <w:b/>
                <w:bCs/>
                <w:szCs w:val="21"/>
              </w:rPr>
            </w:pPr>
            <w:r>
              <w:rPr>
                <w:rFonts w:hint="eastAsia" w:ascii="仿宋" w:hAnsi="仿宋" w:eastAsia="仿宋" w:cs="仿宋"/>
                <w:b/>
                <w:bCs/>
                <w:szCs w:val="21"/>
              </w:rPr>
              <w:t>大学生科技成果推广项目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2022R426B064</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双创背景下高校学生科创经历与未来发展关联性探究---基于杭州市五所高校“挑战杯”参与度数据分析</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李晨蕊</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陈  勋</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徐赛楠</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经亨颐教育学院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2022R426B065</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基于深度学习的图像风格迁移方法研究</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朱  晴</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李秀梅</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信息科学与技术学院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2022R426B066</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面向人脸识别模型的对抗样本生成研究</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潘振雄</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孙军梅</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信息科学与技术学院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2022R426B067</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车联网场景下基于区块链的边缘协同安全计算技术研究</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宋庆武</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刘雪娇</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信息科学与技术学院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2022R426B068</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融合触觉仿真的虚拟现实注射培训平台</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申雨泽</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潘志庚</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阿里巴巴商学院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2022R426B069</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面向未来的创意生态——“WoW”</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林靖炜</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王淑翠</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阿里巴巴商学院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2022R426B070</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健康老龄化视角下非接触式多功能智能床系统应用研究</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乐宇超</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曹世华</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护理学院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2022R426B071</w:t>
            </w:r>
          </w:p>
        </w:tc>
        <w:tc>
          <w:tcPr>
            <w:tcW w:w="5440" w:type="dxa"/>
            <w:vAlign w:val="center"/>
          </w:tcPr>
          <w:p>
            <w:pPr>
              <w:widowControl/>
              <w:tabs>
                <w:tab w:val="left" w:pos="2466"/>
              </w:tabs>
              <w:jc w:val="center"/>
              <w:textAlignment w:val="center"/>
              <w:rPr>
                <w:rFonts w:ascii="仿宋" w:hAnsi="仿宋" w:eastAsia="仿宋" w:cs="仿宋"/>
                <w:color w:val="000000"/>
                <w:szCs w:val="21"/>
              </w:rPr>
            </w:pPr>
            <w:r>
              <w:rPr>
                <w:rFonts w:hint="eastAsia" w:ascii="仿宋" w:hAnsi="仿宋" w:eastAsia="仿宋" w:cs="仿宋"/>
                <w:color w:val="000000"/>
                <w:szCs w:val="21"/>
              </w:rPr>
              <w:t>针对高校艺术类学生的“看—学—做”全链路一站式平台</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俞  烨</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沈  菲</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2022R426B072</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智印——人工智能印章识别检索平台</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吴思燕</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马国春</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数学学院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2022R426B073</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运动压缩裤对运动表现的影响效果研究</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李泽俊</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徐玉明</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2022R426B074</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亚运背景下良渚文化遗产国际传播研究</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戴  慧</w:t>
            </w:r>
          </w:p>
        </w:tc>
        <w:tc>
          <w:tcPr>
            <w:tcW w:w="1236"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郭景华</w:t>
            </w:r>
          </w:p>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林祯昊</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陶  豫</w:t>
            </w:r>
          </w:p>
        </w:tc>
        <w:tc>
          <w:tcPr>
            <w:tcW w:w="1752"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2022R426B075</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新型磁制冷材料的探索和研究</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许啸帆</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杨金虎</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物理学院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2022R426B076</w:t>
            </w:r>
          </w:p>
        </w:tc>
        <w:tc>
          <w:tcPr>
            <w:tcW w:w="5440" w:type="dxa"/>
            <w:vAlign w:val="center"/>
          </w:tcPr>
          <w:p>
            <w:pPr>
              <w:widowControl/>
              <w:tabs>
                <w:tab w:val="left" w:pos="1796"/>
              </w:tabs>
              <w:jc w:val="center"/>
              <w:textAlignment w:val="center"/>
              <w:rPr>
                <w:rFonts w:ascii="仿宋" w:hAnsi="仿宋" w:eastAsia="仿宋" w:cs="仿宋"/>
                <w:color w:val="000000"/>
                <w:szCs w:val="21"/>
              </w:rPr>
            </w:pPr>
            <w:r>
              <w:rPr>
                <w:rFonts w:hint="eastAsia" w:ascii="仿宋" w:hAnsi="仿宋" w:eastAsia="仿宋" w:cs="仿宋"/>
                <w:color w:val="000000"/>
                <w:szCs w:val="21"/>
              </w:rPr>
              <w:t>用于肿瘤细胞ROS水平检测的电化学传感器研究</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汪程成</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陈大竞</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076" w:type="dxa"/>
            <w:gridSpan w:val="5"/>
            <w:vAlign w:val="center"/>
          </w:tcPr>
          <w:p>
            <w:pPr>
              <w:spacing w:line="0" w:lineRule="atLeast"/>
              <w:jc w:val="center"/>
              <w:rPr>
                <w:rFonts w:ascii="仿宋" w:hAnsi="仿宋" w:eastAsia="仿宋" w:cs="仿宋"/>
                <w:b/>
                <w:bCs/>
                <w:szCs w:val="21"/>
              </w:rPr>
            </w:pPr>
            <w:r>
              <w:rPr>
                <w:rFonts w:hint="eastAsia" w:ascii="仿宋" w:hAnsi="仿宋" w:eastAsia="仿宋" w:cs="仿宋"/>
                <w:b/>
                <w:bCs/>
                <w:szCs w:val="21"/>
              </w:rPr>
              <w:t>大学生创新创业孵化项目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2022R426C077</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老旧小区加装电梯决策障碍对策研究</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李毓瑾</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王占明</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沈钧儒法学院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2022R426C078</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多模态原创三维定制微动漫一站式解决与服务</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林川楊</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耿明峰</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姚争为</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音乐学院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2022R426C079</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讲好乡土故事：乡村少年儿童乡土文化教育的公益践行者</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叶荷娇</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刘正平</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陈晓玲</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人文学院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2022R426C080</w:t>
            </w:r>
          </w:p>
        </w:tc>
        <w:tc>
          <w:tcPr>
            <w:tcW w:w="5440"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为平安建设保驾护航：“平安杭行”工作室创业计划</w:t>
            </w:r>
          </w:p>
        </w:tc>
        <w:tc>
          <w:tcPr>
            <w:tcW w:w="105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贾艳蕊</w:t>
            </w:r>
          </w:p>
        </w:tc>
        <w:tc>
          <w:tcPr>
            <w:tcW w:w="1236"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詹  玲</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沈  园</w:t>
            </w:r>
          </w:p>
        </w:tc>
        <w:tc>
          <w:tcPr>
            <w:tcW w:w="1752" w:type="dxa"/>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人文学院</w:t>
            </w:r>
          </w:p>
        </w:tc>
      </w:tr>
    </w:tbl>
    <w:p>
      <w:pPr>
        <w:widowControl/>
        <w:shd w:val="clear" w:color="auto" w:fill="FFFFFF"/>
        <w:spacing w:before="100" w:beforeAutospacing="1" w:after="100" w:afterAutospacing="1"/>
        <w:ind w:firstLine="420"/>
        <w:jc w:val="center"/>
        <w:rPr>
          <w:rFonts w:hint="eastAsia" w:ascii="华文中宋" w:hAnsi="华文中宋" w:eastAsia="华文中宋" w:cstheme="minorBidi"/>
          <w:b/>
          <w:bCs/>
          <w:color w:val="000000"/>
          <w:spacing w:val="15"/>
          <w:kern w:val="0"/>
          <w:sz w:val="36"/>
          <w:szCs w:val="36"/>
          <w:lang w:val="en-US" w:eastAsia="zh-CN" w:bidi="ar-SA"/>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1YmFiOTI4MzVmMDMzYTVhNDNkMDYzYzkxNjNhNmIifQ=="/>
  </w:docVars>
  <w:rsids>
    <w:rsidRoot w:val="48511AE3"/>
    <w:rsid w:val="48511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2022-10-18T14:43:00Z</dcterms:created>
  <dc:creator>微信用户</dc:creator>
  <cp:lastModifiedBy>微信用户</cp:lastModifiedBy>
  <dcterms:modified xsi:type="dcterms:W3CDTF">2022-10-18T14:48:46Z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060BDCE1663140F181E32119EFE699AB</vt:lpwstr>
  </property>
</Properties>
</file>