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公共管理学院（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政治与社会学院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优秀班级评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为进一步发挥优秀班级创建工作对学院优良学风、班风建设的引导、示范作用，提高全院各班级学生对创建优秀班级工作的热情与支持，培育和形成学院良好的优秀班风育人氛围，经学院党委研究，决定在全院范围内制定颁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公共管理学院（政治与社会学院）优秀班级评比条例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。具体内容如下。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考核对象：</w:t>
      </w:r>
      <w:r>
        <w:rPr>
          <w:rFonts w:hint="eastAsia" w:ascii="仿宋" w:hAnsi="仿宋" w:eastAsia="仿宋" w:cs="仿宋"/>
          <w:sz w:val="28"/>
          <w:szCs w:val="28"/>
        </w:rPr>
        <w:t>全体班级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二、考核办法：</w:t>
      </w:r>
      <w:r>
        <w:rPr>
          <w:rFonts w:hint="eastAsia" w:ascii="仿宋" w:hAnsi="仿宋" w:eastAsia="仿宋" w:cs="仿宋"/>
          <w:sz w:val="28"/>
          <w:szCs w:val="28"/>
        </w:rPr>
        <w:t>班级自评、团委审核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三、奖励标准：</w:t>
      </w:r>
      <w:r>
        <w:rPr>
          <w:rFonts w:hint="eastAsia" w:ascii="仿宋" w:hAnsi="仿宋" w:eastAsia="仿宋" w:cs="仿宋"/>
          <w:sz w:val="28"/>
          <w:szCs w:val="28"/>
        </w:rPr>
        <w:t>一等2个（奖励班级建设费用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2500</w:t>
      </w:r>
      <w:r>
        <w:rPr>
          <w:rFonts w:hint="eastAsia" w:ascii="仿宋" w:hAnsi="仿宋" w:eastAsia="仿宋" w:cs="仿宋"/>
          <w:sz w:val="28"/>
          <w:szCs w:val="28"/>
        </w:rPr>
        <w:t>元）、二等2个（奖励班级建设费用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1000</w:t>
      </w:r>
      <w:r>
        <w:rPr>
          <w:rFonts w:hint="eastAsia" w:ascii="仿宋" w:hAnsi="仿宋" w:eastAsia="仿宋" w:cs="仿宋"/>
          <w:sz w:val="28"/>
          <w:szCs w:val="28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（一）加分项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1.班级课堂考勤（校、院抽查为准）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计算方法：到课率=到课人数/班级总人数*100%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全年到课率=到课率总数/查考勤次数</w:t>
      </w:r>
    </w:p>
    <w:tbl>
      <w:tblPr>
        <w:tblStyle w:val="7"/>
        <w:tblW w:w="851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02"/>
        <w:gridCol w:w="1305"/>
        <w:gridCol w:w="1275"/>
        <w:gridCol w:w="1470"/>
        <w:gridCol w:w="1440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到课率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＜90%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90%-92%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92%-95%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95%-97%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97%-100%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加分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2.班级寝室卫生优秀率（校、院抽查为准）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计算方法：班级寝室卫生优秀率=优秀寝室次数/班级总寝室数量（包括混合寝室）*100%</w:t>
      </w:r>
    </w:p>
    <w:tbl>
      <w:tblPr>
        <w:tblStyle w:val="7"/>
        <w:tblW w:w="85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31"/>
        <w:gridCol w:w="1255"/>
        <w:gridCol w:w="1359"/>
        <w:gridCol w:w="1358"/>
        <w:gridCol w:w="1308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优秀率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≤10%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10%-30%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30%-50%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50%-70%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70%-90%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加分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3.班级志愿活动参与度（需证明）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计算方式：班级志愿服务率=参加过志愿活动次数/班级总人数*100%（一人做过多次志愿者活动按多次计算）</w:t>
      </w:r>
    </w:p>
    <w:tbl>
      <w:tblPr>
        <w:tblStyle w:val="7"/>
        <w:tblW w:w="85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50"/>
        <w:gridCol w:w="1214"/>
        <w:gridCol w:w="1215"/>
        <w:gridCol w:w="1279"/>
        <w:gridCol w:w="1196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参与率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≤20%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20%-30%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30%-40%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40%-50%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50%-80%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＞80%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加分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4.班级讲座参与率(以签到卡上印章为准，丢失不补)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计算方法：全班讲座参与平均数=一学年班级盖章总数量/班级总人数（外校、外院都算）</w:t>
      </w:r>
    </w:p>
    <w:tbl>
      <w:tblPr>
        <w:tblStyle w:val="7"/>
        <w:tblW w:w="84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7"/>
        <w:gridCol w:w="1290"/>
        <w:gridCol w:w="89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2-4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4-6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6-8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8-10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10-12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&gt;12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加分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班级学科竞赛参与情况（主要指校级挑战杯、新苗、本创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等一类、二类学科竞赛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团队项目归属负责人班级）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计算方法：</w:t>
      </w:r>
      <w:r>
        <w:rPr>
          <w:rFonts w:hint="eastAsia" w:ascii="仿宋" w:hAnsi="仿宋" w:eastAsia="仿宋" w:cs="仿宋"/>
          <w:bCs/>
          <w:sz w:val="28"/>
          <w:szCs w:val="28"/>
        </w:rPr>
        <w:t>学科竞赛参与情况</w:t>
      </w:r>
      <w:r>
        <w:rPr>
          <w:rFonts w:hint="eastAsia" w:ascii="仿宋" w:hAnsi="仿宋" w:eastAsia="仿宋" w:cs="仿宋"/>
          <w:sz w:val="28"/>
          <w:szCs w:val="28"/>
        </w:rPr>
        <w:t>=一学年班级立项总数量</w:t>
      </w:r>
    </w:p>
    <w:tbl>
      <w:tblPr>
        <w:tblStyle w:val="7"/>
        <w:tblW w:w="84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7"/>
        <w:gridCol w:w="1290"/>
        <w:gridCol w:w="89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&lt;3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3-5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5-7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7-9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9-11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&gt;11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加分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6.班级获奖数（需要凭证）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计算方法：（国家级奖项=四个院级奖项、省级奖项=三个院级奖项、校级奖项=两个院级奖项；奖学金不计入内，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团队奖项归属负责人班级,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其他班级学生若参与此项目获奖，则减半折算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））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tbl>
      <w:tblPr>
        <w:tblStyle w:val="7"/>
        <w:tblW w:w="85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41"/>
        <w:gridCol w:w="1134"/>
        <w:gridCol w:w="1276"/>
        <w:gridCol w:w="992"/>
        <w:gridCol w:w="103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获奖数</w:t>
            </w:r>
          </w:p>
        </w:tc>
        <w:tc>
          <w:tcPr>
            <w:tcW w:w="12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＜10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10-12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13-15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16-18</w:t>
            </w:r>
          </w:p>
        </w:tc>
        <w:tc>
          <w:tcPr>
            <w:tcW w:w="10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18-20</w:t>
            </w:r>
          </w:p>
        </w:tc>
        <w:tc>
          <w:tcPr>
            <w:tcW w:w="14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＞20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加分</w:t>
            </w:r>
          </w:p>
        </w:tc>
        <w:tc>
          <w:tcPr>
            <w:tcW w:w="12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14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7.班级四六级通过率（需要凭证）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计算方法：</w:t>
      </w:r>
      <w:r>
        <w:rPr>
          <w:rFonts w:hint="eastAsia" w:ascii="仿宋" w:hAnsi="仿宋" w:eastAsia="仿宋" w:cs="仿宋"/>
          <w:bCs/>
          <w:sz w:val="28"/>
          <w:szCs w:val="28"/>
        </w:rPr>
        <w:t>四六级通过率=</w:t>
      </w:r>
      <w:r>
        <w:rPr>
          <w:rFonts w:hint="eastAsia" w:ascii="仿宋" w:hAnsi="仿宋" w:eastAsia="仿宋" w:cs="仿宋"/>
          <w:sz w:val="28"/>
          <w:szCs w:val="28"/>
        </w:rPr>
        <w:t>班级通过四、六级的人数/全班人数*100%</w:t>
      </w:r>
    </w:p>
    <w:tbl>
      <w:tblPr>
        <w:tblStyle w:val="7"/>
        <w:tblW w:w="8614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14"/>
        <w:gridCol w:w="1196"/>
        <w:gridCol w:w="1262"/>
        <w:gridCol w:w="1196"/>
        <w:gridCol w:w="119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四级通过率</w:t>
            </w:r>
          </w:p>
        </w:tc>
        <w:tc>
          <w:tcPr>
            <w:tcW w:w="10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≤15%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15%-30%</w:t>
            </w:r>
          </w:p>
        </w:tc>
        <w:tc>
          <w:tcPr>
            <w:tcW w:w="12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30%-50%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50%-70%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70%-90%</w:t>
            </w:r>
          </w:p>
        </w:tc>
        <w:tc>
          <w:tcPr>
            <w:tcW w:w="12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＞90%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加分</w:t>
            </w:r>
          </w:p>
        </w:tc>
        <w:tc>
          <w:tcPr>
            <w:tcW w:w="10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六级通过率</w:t>
            </w:r>
          </w:p>
        </w:tc>
        <w:tc>
          <w:tcPr>
            <w:tcW w:w="10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≤5%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5%-15%</w:t>
            </w:r>
          </w:p>
        </w:tc>
        <w:tc>
          <w:tcPr>
            <w:tcW w:w="12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15%-25%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25%-35%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35%-45%</w:t>
            </w:r>
          </w:p>
        </w:tc>
        <w:tc>
          <w:tcPr>
            <w:tcW w:w="12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＞45%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加分</w:t>
            </w:r>
          </w:p>
        </w:tc>
        <w:tc>
          <w:tcPr>
            <w:tcW w:w="10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128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8.班级干部任职率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（需要凭证，一人任多职可累计）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计算方法：班级+院、校干部人数/班级总人数*100%</w:t>
      </w:r>
    </w:p>
    <w:tbl>
      <w:tblPr>
        <w:tblStyle w:val="7"/>
        <w:tblW w:w="85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172"/>
        <w:gridCol w:w="1196"/>
        <w:gridCol w:w="1267"/>
        <w:gridCol w:w="1196"/>
        <w:gridCol w:w="1056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任职率</w:t>
            </w:r>
          </w:p>
        </w:tc>
        <w:tc>
          <w:tcPr>
            <w:tcW w:w="117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＜10%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10%-20%</w:t>
            </w:r>
          </w:p>
        </w:tc>
        <w:tc>
          <w:tcPr>
            <w:tcW w:w="126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20%-30%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30%-40%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40%50%</w:t>
            </w:r>
          </w:p>
        </w:tc>
        <w:tc>
          <w:tcPr>
            <w:tcW w:w="13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＞50%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加分</w:t>
            </w:r>
          </w:p>
        </w:tc>
        <w:tc>
          <w:tcPr>
            <w:tcW w:w="117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19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3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9.班级通讯稿录用率（新闻中心统计，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合作稿件归属第一作者）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计算方法：班级通讯稿被院级（含）以上部门录用数</w:t>
      </w:r>
    </w:p>
    <w:tbl>
      <w:tblPr>
        <w:tblStyle w:val="7"/>
        <w:tblW w:w="85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录用数</w:t>
            </w:r>
          </w:p>
        </w:tc>
        <w:tc>
          <w:tcPr>
            <w:tcW w:w="141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1-2</w:t>
            </w:r>
          </w:p>
        </w:tc>
        <w:tc>
          <w:tcPr>
            <w:tcW w:w="141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2-4</w:t>
            </w:r>
          </w:p>
        </w:tc>
        <w:tc>
          <w:tcPr>
            <w:tcW w:w="141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4-6</w:t>
            </w:r>
          </w:p>
        </w:tc>
        <w:tc>
          <w:tcPr>
            <w:tcW w:w="14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6-8</w:t>
            </w:r>
          </w:p>
        </w:tc>
        <w:tc>
          <w:tcPr>
            <w:tcW w:w="14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＞8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分数</w:t>
            </w:r>
          </w:p>
        </w:tc>
        <w:tc>
          <w:tcPr>
            <w:tcW w:w="141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41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10.班级论文发表数（学习部统计）三级以上刊物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（合作稿件归属第一作者）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计算方法：发表一篇计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10</w:t>
      </w:r>
      <w:r>
        <w:rPr>
          <w:rFonts w:hint="eastAsia" w:ascii="仿宋" w:hAnsi="仿宋" w:eastAsia="仿宋" w:cs="仿宋"/>
          <w:bCs/>
          <w:sz w:val="28"/>
          <w:szCs w:val="28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11.班级运动会参与率（体育部统计）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计算方法：班级运动会参与人数（运动员、观众、方阵、健美操）/班级总人数</w:t>
      </w:r>
    </w:p>
    <w:tbl>
      <w:tblPr>
        <w:tblStyle w:val="7"/>
        <w:tblW w:w="85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＜10%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10%-20%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20%-30%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30%-40%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40%-50%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＞50%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分数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12.班级文明修身率（师生抽查为准）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计算方法：修身率=全班人数-班级出现不文明人数/班级总人数*100%</w:t>
      </w:r>
    </w:p>
    <w:tbl>
      <w:tblPr>
        <w:tblStyle w:val="7"/>
        <w:tblW w:w="74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7"/>
        <w:gridCol w:w="1217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参与率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＜90%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90%-92%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92%-95%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95%-97%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97%-100%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分数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（二）一票否决项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1.考试违纪：</w:t>
      </w:r>
      <w:r>
        <w:rPr>
          <w:rFonts w:hint="eastAsia" w:ascii="仿宋" w:hAnsi="仿宋" w:eastAsia="仿宋" w:cs="仿宋"/>
          <w:sz w:val="28"/>
          <w:szCs w:val="28"/>
        </w:rPr>
        <w:t>班级考试出现违纪，取消评选资格；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2.课堂考勤：</w:t>
      </w:r>
      <w:r>
        <w:rPr>
          <w:rFonts w:hint="eastAsia" w:ascii="仿宋" w:hAnsi="仿宋" w:eastAsia="仿宋" w:cs="仿宋"/>
          <w:sz w:val="28"/>
          <w:szCs w:val="28"/>
        </w:rPr>
        <w:t>班级课堂未到达到90%，取消评选资格；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3.志愿报名：</w:t>
      </w:r>
      <w:r>
        <w:rPr>
          <w:rFonts w:hint="eastAsia" w:ascii="仿宋" w:hAnsi="仿宋" w:eastAsia="仿宋" w:cs="仿宋"/>
          <w:sz w:val="28"/>
          <w:szCs w:val="28"/>
        </w:rPr>
        <w:t>一、二年级志愿报名人数比率未达到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50%</w:t>
      </w:r>
      <w:r>
        <w:rPr>
          <w:rFonts w:hint="eastAsia" w:ascii="仿宋" w:hAnsi="仿宋" w:eastAsia="仿宋" w:cs="仿宋"/>
          <w:sz w:val="28"/>
          <w:szCs w:val="28"/>
        </w:rPr>
        <w:t>，三年级未达到10%，取消评选资格，；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4.讲座率：</w:t>
      </w:r>
      <w:r>
        <w:rPr>
          <w:rFonts w:hint="eastAsia" w:ascii="仿宋" w:hAnsi="仿宋" w:eastAsia="仿宋" w:cs="仿宋"/>
          <w:sz w:val="28"/>
          <w:szCs w:val="28"/>
        </w:rPr>
        <w:t>一、二年级班级平均讲座个数未达到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个，三年级班级平均讲座个数未达到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个，取消评选资格；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5.运动会参与率：</w:t>
      </w:r>
      <w:r>
        <w:rPr>
          <w:rFonts w:hint="eastAsia" w:ascii="仿宋" w:hAnsi="仿宋" w:eastAsia="仿宋" w:cs="仿宋"/>
          <w:sz w:val="28"/>
          <w:szCs w:val="28"/>
        </w:rPr>
        <w:t>一、二年级运动会参与率未达到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50%</w:t>
      </w:r>
      <w:r>
        <w:rPr>
          <w:rFonts w:hint="eastAsia" w:ascii="仿宋" w:hAnsi="仿宋" w:eastAsia="仿宋" w:cs="仿宋"/>
          <w:sz w:val="28"/>
          <w:szCs w:val="28"/>
        </w:rPr>
        <w:t>，三年级运动会参与率未到10%，取消评选资格；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6.班级文明修身率：</w:t>
      </w:r>
      <w:r>
        <w:rPr>
          <w:rFonts w:hint="eastAsia" w:ascii="仿宋" w:hAnsi="仿宋" w:eastAsia="仿宋" w:cs="仿宋"/>
          <w:sz w:val="28"/>
          <w:szCs w:val="28"/>
        </w:rPr>
        <w:t>经过检查，班级不文明修身人数比率低于80%，取消评选的资格；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b/>
          <w:sz w:val="28"/>
          <w:szCs w:val="28"/>
        </w:rPr>
        <w:t>寝室卫生：</w:t>
      </w:r>
      <w:r>
        <w:rPr>
          <w:rFonts w:hint="eastAsia" w:ascii="仿宋" w:hAnsi="仿宋" w:eastAsia="仿宋" w:cs="仿宋"/>
          <w:sz w:val="28"/>
          <w:szCs w:val="28"/>
        </w:rPr>
        <w:t>在抽查中出现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个</w:t>
      </w:r>
      <w:r>
        <w:rPr>
          <w:rFonts w:hint="eastAsia" w:ascii="仿宋" w:hAnsi="仿宋" w:eastAsia="仿宋" w:cs="仿宋"/>
          <w:sz w:val="28"/>
          <w:szCs w:val="28"/>
        </w:rPr>
        <w:t>不合格寝室，取消评选的资格；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</w:t>
      </w:r>
      <w:r>
        <w:rPr>
          <w:rFonts w:hint="eastAsia" w:ascii="仿宋" w:hAnsi="仿宋" w:eastAsia="仿宋" w:cs="仿宋"/>
          <w:b/>
          <w:sz w:val="28"/>
          <w:szCs w:val="28"/>
        </w:rPr>
        <w:t>通讯稿投稿数量：</w:t>
      </w:r>
      <w:r>
        <w:rPr>
          <w:rFonts w:hint="eastAsia" w:ascii="仿宋" w:hAnsi="仿宋" w:eastAsia="仿宋" w:cs="仿宋"/>
          <w:sz w:val="28"/>
          <w:szCs w:val="28"/>
        </w:rPr>
        <w:t>通讯稿投稿数量少于5篇，取消评选的资格。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公共管理学院（政治与社会学院）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2" w:firstLineChars="20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2015年10月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5826"/>
    <w:multiLevelType w:val="singleLevel"/>
    <w:tmpl w:val="56185826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461"/>
    <w:rsid w:val="00080E04"/>
    <w:rsid w:val="000A5544"/>
    <w:rsid w:val="00177E36"/>
    <w:rsid w:val="001E413F"/>
    <w:rsid w:val="004660CE"/>
    <w:rsid w:val="00786D1C"/>
    <w:rsid w:val="009454DB"/>
    <w:rsid w:val="00981FC4"/>
    <w:rsid w:val="00A2367E"/>
    <w:rsid w:val="00B34C54"/>
    <w:rsid w:val="00B51461"/>
    <w:rsid w:val="00CA42C9"/>
    <w:rsid w:val="00E8779F"/>
    <w:rsid w:val="016A4161"/>
    <w:rsid w:val="045525AB"/>
    <w:rsid w:val="05F835D3"/>
    <w:rsid w:val="06CD64B7"/>
    <w:rsid w:val="08705A6C"/>
    <w:rsid w:val="0B925E02"/>
    <w:rsid w:val="0D9229D2"/>
    <w:rsid w:val="0F0E5742"/>
    <w:rsid w:val="125B292B"/>
    <w:rsid w:val="12AA5F2D"/>
    <w:rsid w:val="1A9731B0"/>
    <w:rsid w:val="1CE13FEE"/>
    <w:rsid w:val="1EE84744"/>
    <w:rsid w:val="247962E4"/>
    <w:rsid w:val="29252190"/>
    <w:rsid w:val="2B536F21"/>
    <w:rsid w:val="30C86099"/>
    <w:rsid w:val="31B00595"/>
    <w:rsid w:val="345B5F75"/>
    <w:rsid w:val="3486483B"/>
    <w:rsid w:val="40A37299"/>
    <w:rsid w:val="417B5375"/>
    <w:rsid w:val="41837C0C"/>
    <w:rsid w:val="451A06ED"/>
    <w:rsid w:val="4585243D"/>
    <w:rsid w:val="461E2519"/>
    <w:rsid w:val="48A15498"/>
    <w:rsid w:val="49352AAB"/>
    <w:rsid w:val="4B2E4DE4"/>
    <w:rsid w:val="4D9877DD"/>
    <w:rsid w:val="4EC04CC0"/>
    <w:rsid w:val="4ED626E7"/>
    <w:rsid w:val="53E52DB4"/>
    <w:rsid w:val="55774444"/>
    <w:rsid w:val="578B35A9"/>
    <w:rsid w:val="59FD5EB2"/>
    <w:rsid w:val="5A0667C2"/>
    <w:rsid w:val="5A0A1945"/>
    <w:rsid w:val="5A8B6A1B"/>
    <w:rsid w:val="5CB21C23"/>
    <w:rsid w:val="613C4296"/>
    <w:rsid w:val="62413B44"/>
    <w:rsid w:val="64785961"/>
    <w:rsid w:val="64874375"/>
    <w:rsid w:val="656F3CFB"/>
    <w:rsid w:val="665B4BFD"/>
    <w:rsid w:val="73A103C3"/>
    <w:rsid w:val="779934C6"/>
    <w:rsid w:val="786F2225"/>
    <w:rsid w:val="7AA9664C"/>
    <w:rsid w:val="7B3429AD"/>
    <w:rsid w:val="7CDA1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99"/>
    <w:pPr>
      <w:jc w:val="left"/>
    </w:pPr>
  </w:style>
  <w:style w:type="paragraph" w:styleId="4">
    <w:name w:val="Balloon Text"/>
    <w:basedOn w:val="1"/>
    <w:link w:val="15"/>
    <w:qFormat/>
    <w:uiPriority w:val="99"/>
    <w:rPr>
      <w:rFonts w:ascii="Heiti SC Light" w:eastAsia="Times New Roman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link w:val="17"/>
    <w:qFormat/>
    <w:uiPriority w:val="99"/>
    <w:rPr>
      <w:rFonts w:ascii="??_GB2312" w:hAnsi="??_GB2312" w:cs="??_GB2312"/>
      <w:sz w:val="28"/>
      <w:szCs w:val="28"/>
    </w:rPr>
  </w:style>
  <w:style w:type="character" w:customStyle="1" w:styleId="10">
    <w:name w:val="Heading 1 Char"/>
    <w:basedOn w:val="8"/>
    <w:link w:val="2"/>
    <w:semiHidden/>
    <w:qFormat/>
    <w:locked/>
    <w:uiPriority w:val="99"/>
    <w:rPr>
      <w:rFonts w:ascii="宋体" w:hAnsi="宋体" w:eastAsia="宋体" w:cs="Times New Roman"/>
      <w:b/>
      <w:bCs/>
      <w:snapToGrid w:val="0"/>
      <w:kern w:val="44"/>
      <w:sz w:val="44"/>
      <w:szCs w:val="44"/>
    </w:rPr>
  </w:style>
  <w:style w:type="character" w:customStyle="1" w:styleId="11">
    <w:name w:val="Comment Text Char"/>
    <w:basedOn w:val="8"/>
    <w:link w:val="3"/>
    <w:semiHidden/>
    <w:qFormat/>
    <w:locked/>
    <w:uiPriority w:val="99"/>
    <w:rPr>
      <w:rFonts w:ascii="宋体" w:eastAsia="宋体" w:cs="Times New Roman"/>
      <w:kern w:val="0"/>
      <w:sz w:val="21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宋体" w:eastAsia="宋体" w:cs="Times New Roman"/>
      <w:kern w:val="0"/>
      <w:sz w:val="16"/>
      <w:szCs w:val="16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rFonts w:ascii="宋体" w:hAnsi="宋体" w:eastAsia="宋体" w:cs="Times New Roman"/>
      <w:snapToGrid w:val="0"/>
      <w:kern w:val="0"/>
      <w:sz w:val="18"/>
      <w:szCs w:val="18"/>
    </w:rPr>
  </w:style>
  <w:style w:type="character" w:customStyle="1" w:styleId="14">
    <w:name w:val="Header Char"/>
    <w:basedOn w:val="8"/>
    <w:link w:val="6"/>
    <w:semiHidden/>
    <w:qFormat/>
    <w:locked/>
    <w:uiPriority w:val="99"/>
    <w:rPr>
      <w:rFonts w:ascii="宋体" w:hAnsi="宋体" w:eastAsia="宋体" w:cs="Times New Roman"/>
      <w:snapToGrid w:val="0"/>
      <w:kern w:val="0"/>
      <w:sz w:val="18"/>
      <w:szCs w:val="18"/>
    </w:rPr>
  </w:style>
  <w:style w:type="character" w:customStyle="1" w:styleId="15">
    <w:name w:val="Balloon Text Char1"/>
    <w:basedOn w:val="8"/>
    <w:link w:val="4"/>
    <w:semiHidden/>
    <w:locked/>
    <w:uiPriority w:val="99"/>
    <w:rPr>
      <w:rFonts w:ascii="Heiti SC Light" w:hAnsi="宋体" w:eastAsia="Times New Roman" w:cs="Times New Roman"/>
      <w:snapToGrid w:val="0"/>
      <w:sz w:val="18"/>
      <w:szCs w:val="18"/>
    </w:rPr>
  </w:style>
  <w:style w:type="character" w:customStyle="1" w:styleId="16">
    <w:name w:val="Comment Reference1"/>
    <w:basedOn w:val="8"/>
    <w:uiPriority w:val="99"/>
    <w:rPr>
      <w:rFonts w:cs="Times New Roman"/>
      <w:sz w:val="21"/>
      <w:szCs w:val="21"/>
    </w:rPr>
  </w:style>
  <w:style w:type="character" w:customStyle="1" w:styleId="17">
    <w:name w:val="样式1 Char Char"/>
    <w:basedOn w:val="8"/>
    <w:link w:val="9"/>
    <w:semiHidden/>
    <w:qFormat/>
    <w:locked/>
    <w:uiPriority w:val="99"/>
    <w:rPr>
      <w:rFonts w:ascii="??_GB2312" w:hAnsi="??_GB2312" w:cs="??_GB2312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301</Words>
  <Characters>1720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2015-10-07T12:00:00Z</dcterms:created>
  <dc:creator>依圣 叶</dc:creator>
  <cp:lastModifiedBy>wxl</cp:lastModifiedBy>
  <dcterms:modified xsi:type="dcterms:W3CDTF">2019-09-12T02:41:58Z</dcterms:modified>
  <dc:title>wangxinglong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