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2250"/>
        </w:tabs>
        <w:spacing w:line="540" w:lineRule="exact"/>
        <w:ind w:firstLine="720"/>
        <w:rPr>
          <w:rFonts w:ascii="黑体" w:eastAsia="黑体"/>
          <w:sz w:val="36"/>
          <w:szCs w:val="36"/>
        </w:rPr>
      </w:pPr>
    </w:p>
    <w:p>
      <w:pPr>
        <w:spacing w:line="540" w:lineRule="exact"/>
        <w:ind w:firstLine="640"/>
      </w:pPr>
    </w:p>
    <w:p>
      <w:pPr>
        <w:spacing w:before="120" w:beforeLines="50" w:line="600" w:lineRule="exact"/>
        <w:ind w:firstLine="640"/>
      </w:pPr>
    </w:p>
    <w:p>
      <w:pPr>
        <w:spacing w:line="460" w:lineRule="exact"/>
        <w:ind w:firstLine="640"/>
      </w:pPr>
    </w:p>
    <w:p>
      <w:pPr>
        <w:spacing w:before="120" w:beforeLines="50" w:line="500" w:lineRule="exact"/>
        <w:ind w:firstLine="640"/>
      </w:pPr>
    </w:p>
    <w:p>
      <w:pPr>
        <w:spacing w:before="360" w:beforeLines="150" w:line="500" w:lineRule="exact"/>
        <w:ind w:firstLine="640"/>
        <w:jc w:val="distribute"/>
      </w:pPr>
    </w:p>
    <w:p>
      <w:pPr>
        <w:tabs>
          <w:tab w:val="left" w:pos="2250"/>
        </w:tabs>
        <w:spacing w:line="540" w:lineRule="exact"/>
        <w:ind w:firstLine="0" w:firstLineChars="0"/>
        <w:jc w:val="center"/>
        <w:rPr>
          <w:rFonts w:ascii="仿宋_GB2312"/>
          <w:szCs w:val="32"/>
        </w:rPr>
      </w:pPr>
      <w:r>
        <w:rPr>
          <w:rFonts w:hint="eastAsia" w:ascii="仿宋_GB2312"/>
          <w:szCs w:val="32"/>
        </w:rPr>
        <w:t>杭科外专〔2020〕9号</w:t>
      </w:r>
    </w:p>
    <w:p>
      <w:pPr>
        <w:tabs>
          <w:tab w:val="left" w:pos="2250"/>
        </w:tabs>
        <w:spacing w:before="120" w:beforeLines="50" w:line="540" w:lineRule="exact"/>
        <w:ind w:firstLine="640"/>
        <w:jc w:val="center"/>
        <w:rPr>
          <w:rFonts w:ascii="仿宋_GB2312"/>
          <w:szCs w:val="32"/>
        </w:rPr>
      </w:pPr>
    </w:p>
    <w:p>
      <w:pPr>
        <w:spacing w:line="620" w:lineRule="exact"/>
        <w:ind w:firstLine="0" w:firstLineChars="0"/>
        <w:jc w:val="center"/>
        <w:rPr>
          <w:rFonts w:ascii="方正小标宋简体" w:hAnsi="宋体" w:eastAsia="方正小标宋简体"/>
          <w:sz w:val="44"/>
          <w:szCs w:val="44"/>
        </w:rPr>
      </w:pPr>
      <w:r>
        <w:rPr>
          <w:rFonts w:hint="eastAsia" w:ascii="方正小标宋简体" w:hAnsi="宋体" w:eastAsia="方正小标宋简体"/>
          <w:sz w:val="44"/>
          <w:szCs w:val="44"/>
        </w:rPr>
        <w:t>关于做好2020年度杭州市“115”</w:t>
      </w:r>
      <w:bookmarkStart w:id="2" w:name="_GoBack"/>
      <w:r>
        <w:rPr>
          <w:rFonts w:hint="eastAsia" w:ascii="方正小标宋简体" w:hAnsi="宋体" w:eastAsia="方正小标宋简体"/>
          <w:sz w:val="44"/>
          <w:szCs w:val="44"/>
        </w:rPr>
        <w:t>引进</w:t>
      </w:r>
    </w:p>
    <w:p>
      <w:pPr>
        <w:spacing w:line="620" w:lineRule="exact"/>
        <w:ind w:firstLine="0" w:firstLineChars="0"/>
        <w:jc w:val="center"/>
        <w:rPr>
          <w:rFonts w:ascii="方正小标宋简体" w:hAnsi="宋体" w:eastAsia="方正小标宋简体"/>
          <w:sz w:val="44"/>
          <w:szCs w:val="44"/>
        </w:rPr>
      </w:pPr>
      <w:r>
        <w:rPr>
          <w:rFonts w:hint="eastAsia" w:ascii="方正小标宋简体" w:hAnsi="宋体" w:eastAsia="方正小标宋简体"/>
          <w:sz w:val="44"/>
          <w:szCs w:val="44"/>
        </w:rPr>
        <w:t>国（境）外智力计划项目申报工作的通知</w:t>
      </w:r>
    </w:p>
    <w:bookmarkEnd w:id="2"/>
    <w:p>
      <w:pPr>
        <w:ind w:firstLine="0" w:firstLineChars="0"/>
        <w:rPr>
          <w:rFonts w:ascii="仿宋_GB2312" w:hAnsi="宋体"/>
          <w:szCs w:val="32"/>
        </w:rPr>
      </w:pPr>
    </w:p>
    <w:p>
      <w:pPr>
        <w:spacing w:line="600" w:lineRule="exact"/>
        <w:ind w:firstLine="0" w:firstLineChars="0"/>
        <w:rPr>
          <w:rFonts w:ascii="仿宋_GB2312" w:hAnsi="仿宋_GB2312" w:cs="仿宋_GB2312"/>
          <w:szCs w:val="32"/>
        </w:rPr>
      </w:pPr>
      <w:r>
        <w:rPr>
          <w:rFonts w:hint="eastAsia" w:ascii="仿宋_GB2312" w:hAnsi="仿宋_GB2312" w:cs="仿宋_GB2312"/>
          <w:szCs w:val="32"/>
        </w:rPr>
        <w:t>各区、县（市）科技局，钱塘新区经发科技局，市各有关单位：</w:t>
      </w:r>
    </w:p>
    <w:p>
      <w:pPr>
        <w:spacing w:line="600" w:lineRule="exact"/>
        <w:ind w:firstLine="640"/>
        <w:rPr>
          <w:rFonts w:ascii="仿宋_GB2312" w:hAnsi="宋体"/>
          <w:szCs w:val="32"/>
        </w:rPr>
      </w:pPr>
      <w:r>
        <w:rPr>
          <w:rFonts w:hint="eastAsia" w:ascii="仿宋_GB2312" w:hAnsi="仿宋_GB2312" w:cs="仿宋_GB2312"/>
          <w:szCs w:val="32"/>
        </w:rPr>
        <w:t>根据《市委办公厅市政府办公厅关于服务六大行动打造人才生态最优城市的意见》</w:t>
      </w:r>
      <w:r>
        <w:rPr>
          <w:rFonts w:ascii="仿宋_GB2312" w:cs="仿宋_GB2312"/>
          <w:szCs w:val="32"/>
        </w:rPr>
        <w:t>（</w:t>
      </w:r>
      <w:r>
        <w:rPr>
          <w:rFonts w:hint="eastAsia" w:ascii="仿宋_GB2312" w:hAnsi="仿宋_GB2312" w:cs="仿宋_GB2312"/>
          <w:szCs w:val="32"/>
        </w:rPr>
        <w:t>市委办发</w:t>
      </w:r>
      <w:r>
        <w:rPr>
          <w:rFonts w:ascii="仿宋_GB2312" w:cs="仿宋_GB2312"/>
          <w:szCs w:val="32"/>
        </w:rPr>
        <w:t>〔201</w:t>
      </w:r>
      <w:r>
        <w:rPr>
          <w:rFonts w:hint="eastAsia" w:ascii="仿宋_GB2312" w:cs="仿宋_GB2312"/>
          <w:szCs w:val="32"/>
        </w:rPr>
        <w:t>9</w:t>
      </w:r>
      <w:r>
        <w:rPr>
          <w:rFonts w:ascii="仿宋_GB2312" w:cs="仿宋_GB2312"/>
          <w:szCs w:val="32"/>
        </w:rPr>
        <w:t>〕</w:t>
      </w:r>
      <w:r>
        <w:rPr>
          <w:rFonts w:hint="eastAsia" w:ascii="仿宋_GB2312" w:cs="仿宋_GB2312"/>
          <w:szCs w:val="32"/>
        </w:rPr>
        <w:t>41</w:t>
      </w:r>
      <w:r>
        <w:rPr>
          <w:rFonts w:ascii="仿宋_GB2312" w:cs="仿宋_GB2312"/>
          <w:szCs w:val="32"/>
        </w:rPr>
        <w:t>号）</w:t>
      </w:r>
      <w:r>
        <w:rPr>
          <w:rFonts w:hint="eastAsia" w:ascii="仿宋_GB2312" w:cs="仿宋_GB2312"/>
          <w:szCs w:val="32"/>
        </w:rPr>
        <w:t>和《</w:t>
      </w:r>
      <w:r>
        <w:rPr>
          <w:rFonts w:ascii="仿宋_GB2312" w:cs="仿宋_GB2312"/>
          <w:szCs w:val="32"/>
        </w:rPr>
        <w:t>关于</w:t>
      </w:r>
      <w:r>
        <w:rPr>
          <w:rFonts w:hint="eastAsia" w:ascii="仿宋_GB2312" w:cs="仿宋_GB2312"/>
          <w:szCs w:val="32"/>
        </w:rPr>
        <w:t>印发&lt;关于</w:t>
      </w:r>
      <w:r>
        <w:rPr>
          <w:rFonts w:ascii="仿宋_GB2312" w:cs="仿宋_GB2312"/>
          <w:szCs w:val="32"/>
        </w:rPr>
        <w:t>全面提升杭州市领军型创新创业团队引进培育计划的实施意见</w:t>
      </w:r>
      <w:r>
        <w:rPr>
          <w:rFonts w:hint="eastAsia" w:ascii="仿宋_GB2312" w:cs="仿宋_GB2312"/>
          <w:szCs w:val="32"/>
        </w:rPr>
        <w:t>&gt;等三个文件的通知》</w:t>
      </w:r>
      <w:r>
        <w:rPr>
          <w:rFonts w:ascii="仿宋_GB2312" w:cs="仿宋_GB2312"/>
          <w:szCs w:val="32"/>
        </w:rPr>
        <w:t>（</w:t>
      </w:r>
      <w:r>
        <w:rPr>
          <w:rFonts w:hint="eastAsia" w:ascii="仿宋_GB2312" w:cs="仿宋_GB2312"/>
          <w:szCs w:val="32"/>
        </w:rPr>
        <w:t>杭</w:t>
      </w:r>
      <w:r>
        <w:rPr>
          <w:rFonts w:ascii="仿宋_GB2312" w:cs="仿宋_GB2312"/>
          <w:szCs w:val="32"/>
        </w:rPr>
        <w:t>委</w:t>
      </w:r>
      <w:r>
        <w:rPr>
          <w:rFonts w:hint="eastAsia" w:ascii="仿宋_GB2312" w:cs="仿宋_GB2312"/>
          <w:szCs w:val="32"/>
        </w:rPr>
        <w:t>人办</w:t>
      </w:r>
      <w:r>
        <w:rPr>
          <w:rFonts w:ascii="仿宋_GB2312" w:cs="仿宋_GB2312"/>
          <w:szCs w:val="32"/>
        </w:rPr>
        <w:t>〔201</w:t>
      </w:r>
      <w:r>
        <w:rPr>
          <w:rFonts w:hint="eastAsia" w:ascii="仿宋_GB2312" w:cs="仿宋_GB2312"/>
          <w:szCs w:val="32"/>
        </w:rPr>
        <w:t>9</w:t>
      </w:r>
      <w:r>
        <w:rPr>
          <w:rFonts w:ascii="仿宋_GB2312" w:cs="仿宋_GB2312"/>
          <w:szCs w:val="32"/>
        </w:rPr>
        <w:t>〕</w:t>
      </w:r>
      <w:r>
        <w:rPr>
          <w:rFonts w:hint="eastAsia" w:ascii="仿宋_GB2312" w:cs="仿宋_GB2312"/>
          <w:szCs w:val="32"/>
        </w:rPr>
        <w:t>5</w:t>
      </w:r>
      <w:r>
        <w:rPr>
          <w:rFonts w:ascii="仿宋_GB2312" w:cs="仿宋_GB2312"/>
          <w:szCs w:val="32"/>
        </w:rPr>
        <w:t>号）</w:t>
      </w:r>
      <w:r>
        <w:rPr>
          <w:rFonts w:hint="eastAsia" w:ascii="仿宋_GB2312" w:cs="仿宋_GB2312"/>
          <w:szCs w:val="32"/>
        </w:rPr>
        <w:t>的文件</w:t>
      </w:r>
      <w:r>
        <w:rPr>
          <w:rFonts w:hint="eastAsia" w:ascii="仿宋_GB2312" w:hAnsi="宋体"/>
          <w:szCs w:val="32"/>
        </w:rPr>
        <w:t>精神，现就我市2020年度“115”引进国(境)外智力计划申报工作有关事项通知如下：</w:t>
      </w:r>
    </w:p>
    <w:p>
      <w:pPr>
        <w:spacing w:line="600" w:lineRule="exact"/>
        <w:ind w:firstLine="480" w:firstLineChars="150"/>
        <w:rPr>
          <w:rFonts w:ascii="黑体" w:hAnsi="黑体" w:eastAsia="黑体"/>
          <w:szCs w:val="32"/>
        </w:rPr>
      </w:pPr>
      <w:r>
        <w:rPr>
          <w:rFonts w:hint="eastAsia" w:ascii="黑体" w:hAnsi="黑体" w:eastAsia="黑体"/>
          <w:szCs w:val="32"/>
        </w:rPr>
        <w:t xml:space="preserve"> 一、申报对象</w:t>
      </w:r>
    </w:p>
    <w:p>
      <w:pPr>
        <w:spacing w:line="600" w:lineRule="exact"/>
        <w:ind w:firstLine="640"/>
        <w:rPr>
          <w:rFonts w:ascii="仿宋_GB2312" w:hAnsi="宋体"/>
          <w:szCs w:val="32"/>
        </w:rPr>
      </w:pPr>
      <w:r>
        <w:rPr>
          <w:rFonts w:hint="eastAsia" w:ascii="仿宋_GB2312" w:hAnsi="宋体"/>
          <w:szCs w:val="32"/>
        </w:rPr>
        <w:t>在市本级及所属区（含国家级开发区、杭州钱塘新区产业集聚区，下同）、县（市）依法设立的企事业单位，根据杭州经济社会发展需要，引进高端外国专家和国（境）外智力项目，并符合相关条件的，可申报本计划资助，经评审并立项的可享受相关资金和政策扶持。</w:t>
      </w:r>
    </w:p>
    <w:p>
      <w:pPr>
        <w:spacing w:line="600" w:lineRule="exact"/>
        <w:ind w:firstLine="640"/>
        <w:rPr>
          <w:rFonts w:ascii="黑体" w:hAnsi="黑体" w:eastAsia="黑体"/>
          <w:szCs w:val="32"/>
        </w:rPr>
      </w:pPr>
      <w:r>
        <w:rPr>
          <w:rFonts w:hint="eastAsia" w:ascii="黑体" w:hAnsi="黑体" w:eastAsia="黑体"/>
          <w:szCs w:val="32"/>
        </w:rPr>
        <w:t>二、申报条件</w:t>
      </w:r>
    </w:p>
    <w:p>
      <w:pPr>
        <w:spacing w:line="600" w:lineRule="exact"/>
        <w:ind w:firstLine="640"/>
        <w:rPr>
          <w:rFonts w:ascii="仿宋_GB2312"/>
          <w:szCs w:val="32"/>
        </w:rPr>
      </w:pPr>
      <w:r>
        <w:rPr>
          <w:rFonts w:hint="eastAsia" w:ascii="仿宋_GB2312"/>
          <w:szCs w:val="32"/>
        </w:rPr>
        <w:t xml:space="preserve">（一）企事业单位引进的高端外国专家，须在该单位担任中层及以上职务，或担任某项工程、技术、项目和学科的负责人（带头人），且原则上聘用时间不少于1年、1个年度内在杭实际工作时间不少于2个月（从事研发、设计类等可不在杭完成工作任务的专家除外），年薪在60万元（人民币，下同）及以上，并具备下列条件之一： </w:t>
      </w:r>
    </w:p>
    <w:p>
      <w:pPr>
        <w:spacing w:line="600" w:lineRule="exact"/>
        <w:ind w:firstLine="640"/>
        <w:rPr>
          <w:rFonts w:ascii="仿宋_GB2312"/>
          <w:szCs w:val="32"/>
        </w:rPr>
      </w:pPr>
      <w:r>
        <w:rPr>
          <w:rFonts w:hint="eastAsia" w:ascii="仿宋_GB2312"/>
          <w:szCs w:val="32"/>
        </w:rPr>
        <w:t>1.在国（境）外高校、科研院所担任相当于副教授以上职务的专家学者；</w:t>
      </w:r>
    </w:p>
    <w:p>
      <w:pPr>
        <w:spacing w:line="600" w:lineRule="exact"/>
        <w:ind w:firstLine="640"/>
        <w:rPr>
          <w:rFonts w:ascii="仿宋_GB2312"/>
          <w:szCs w:val="32"/>
        </w:rPr>
      </w:pPr>
      <w:r>
        <w:rPr>
          <w:rFonts w:hint="eastAsia" w:ascii="仿宋_GB2312"/>
          <w:szCs w:val="32"/>
        </w:rPr>
        <w:t>2.在国（境）外知名企业或机构担任中、高级职务的专业技术人才和经营管理人才；</w:t>
      </w:r>
    </w:p>
    <w:p>
      <w:pPr>
        <w:spacing w:line="600" w:lineRule="exact"/>
        <w:ind w:firstLine="640"/>
        <w:rPr>
          <w:rFonts w:ascii="仿宋_GB2312"/>
          <w:szCs w:val="32"/>
        </w:rPr>
      </w:pPr>
      <w:r>
        <w:rPr>
          <w:rFonts w:hint="eastAsia" w:ascii="仿宋_GB2312"/>
          <w:szCs w:val="32"/>
        </w:rPr>
        <w:t>3.拥有自主知识产权或掌握核心技术的专业人才；</w:t>
      </w:r>
    </w:p>
    <w:p>
      <w:pPr>
        <w:spacing w:line="600" w:lineRule="exact"/>
        <w:ind w:firstLine="640"/>
        <w:rPr>
          <w:rFonts w:ascii="仿宋_GB2312"/>
          <w:szCs w:val="32"/>
        </w:rPr>
      </w:pPr>
      <w:r>
        <w:rPr>
          <w:rFonts w:hint="eastAsia" w:ascii="仿宋_GB2312"/>
          <w:szCs w:val="32"/>
        </w:rPr>
        <w:t>4.高层次国（境）外专家工作团队中的主要成员；</w:t>
      </w:r>
    </w:p>
    <w:p>
      <w:pPr>
        <w:spacing w:line="600" w:lineRule="exact"/>
        <w:ind w:firstLine="640"/>
        <w:rPr>
          <w:rFonts w:ascii="仿宋_GB2312"/>
          <w:szCs w:val="32"/>
        </w:rPr>
      </w:pPr>
      <w:r>
        <w:rPr>
          <w:rFonts w:hint="eastAsia" w:ascii="仿宋_GB2312"/>
          <w:szCs w:val="32"/>
        </w:rPr>
        <w:t>5.其他急需或紧缺的高层次外国专家。</w:t>
      </w:r>
    </w:p>
    <w:p>
      <w:pPr>
        <w:spacing w:line="600" w:lineRule="exact"/>
        <w:ind w:firstLine="640"/>
        <w:rPr>
          <w:rFonts w:ascii="仿宋_GB2312"/>
          <w:szCs w:val="32"/>
        </w:rPr>
      </w:pPr>
      <w:r>
        <w:rPr>
          <w:rFonts w:hint="eastAsia" w:ascii="仿宋_GB2312"/>
          <w:szCs w:val="32"/>
        </w:rPr>
        <w:t>（二）企事业单位实施的引进国（境）外智力项目，应为引进国（境）外（包括港、澳、台）技术、管理专家来杭帮助解决生产、科研和管理过程中存在的技术或管理难题的项目，分别为重点项目和优秀项目予以资助。</w:t>
      </w:r>
    </w:p>
    <w:p>
      <w:pPr>
        <w:spacing w:line="600" w:lineRule="exact"/>
        <w:ind w:firstLine="640"/>
        <w:rPr>
          <w:rFonts w:ascii="仿宋_GB2312"/>
          <w:szCs w:val="32"/>
        </w:rPr>
      </w:pPr>
    </w:p>
    <w:p>
      <w:pPr>
        <w:spacing w:line="600" w:lineRule="exact"/>
        <w:ind w:firstLine="640"/>
        <w:rPr>
          <w:rFonts w:ascii="黑体" w:hAnsi="黑体" w:eastAsia="黑体"/>
          <w:szCs w:val="32"/>
        </w:rPr>
      </w:pPr>
      <w:r>
        <w:rPr>
          <w:rFonts w:hint="eastAsia" w:ascii="黑体" w:hAnsi="黑体" w:eastAsia="黑体"/>
          <w:szCs w:val="32"/>
        </w:rPr>
        <w:t>三、资助方式</w:t>
      </w:r>
    </w:p>
    <w:p>
      <w:pPr>
        <w:spacing w:line="600" w:lineRule="exact"/>
        <w:ind w:firstLine="640"/>
        <w:rPr>
          <w:rFonts w:ascii="仿宋_GB2312"/>
          <w:szCs w:val="32"/>
        </w:rPr>
      </w:pPr>
      <w:r>
        <w:rPr>
          <w:rFonts w:hint="eastAsia" w:ascii="仿宋_GB2312"/>
          <w:szCs w:val="32"/>
        </w:rPr>
        <w:t>（一）对引进的高端外国专家实行年薪资助。资助金额按各单位与外国专家签订的合同或协议中明确的年薪高低分为60（含）-80万元、80（含）万元以上2个区间，分别按年薪的50%、60%的标准给予资助，资助金额最高不超过60万元。</w:t>
      </w:r>
    </w:p>
    <w:p>
      <w:pPr>
        <w:spacing w:line="600" w:lineRule="exact"/>
        <w:ind w:firstLine="640"/>
        <w:rPr>
          <w:rFonts w:ascii="仿宋_GB2312"/>
          <w:szCs w:val="32"/>
        </w:rPr>
      </w:pPr>
      <w:r>
        <w:rPr>
          <w:rFonts w:hint="eastAsia" w:ascii="仿宋_GB2312"/>
          <w:szCs w:val="32"/>
        </w:rPr>
        <w:t>（二）对引进的国（境）外智力项目实行项目资金资助。按重点项目和优秀项目分别给予30万元和不超过20万元资助。</w:t>
      </w:r>
    </w:p>
    <w:p>
      <w:pPr>
        <w:spacing w:line="600" w:lineRule="exact"/>
        <w:ind w:firstLine="640"/>
        <w:rPr>
          <w:rFonts w:ascii="仿宋_GB2312"/>
          <w:szCs w:val="32"/>
        </w:rPr>
      </w:pPr>
      <w:r>
        <w:rPr>
          <w:rFonts w:hint="eastAsia" w:ascii="仿宋_GB2312"/>
          <w:szCs w:val="32"/>
        </w:rPr>
        <w:t>（三）以上资助，市属单位资助资金由市本级财政承担，区、县（市）属单位资助资金由市和区、县（市）财政各承担50%。</w:t>
      </w:r>
    </w:p>
    <w:p>
      <w:pPr>
        <w:spacing w:line="600" w:lineRule="exact"/>
        <w:ind w:firstLine="640"/>
        <w:rPr>
          <w:rFonts w:ascii="仿宋_GB2312"/>
          <w:szCs w:val="32"/>
        </w:rPr>
      </w:pPr>
      <w:r>
        <w:rPr>
          <w:rFonts w:hint="eastAsia" w:ascii="仿宋_GB2312"/>
          <w:szCs w:val="32"/>
        </w:rPr>
        <w:t>（四）引进国（境）外智力项目及同一项目中的同一专家当年度不同时享受年薪资助和项目资助。</w:t>
      </w:r>
    </w:p>
    <w:p>
      <w:pPr>
        <w:spacing w:line="600" w:lineRule="exact"/>
        <w:ind w:firstLine="640"/>
        <w:rPr>
          <w:rFonts w:ascii="仿宋_GB2312"/>
          <w:szCs w:val="32"/>
        </w:rPr>
      </w:pPr>
      <w:r>
        <w:rPr>
          <w:rFonts w:hint="eastAsia" w:ascii="仿宋_GB2312"/>
          <w:szCs w:val="32"/>
        </w:rPr>
        <w:t>（五）市本级财政所需资金在市人才发展专项资金中列支。</w:t>
      </w:r>
    </w:p>
    <w:p>
      <w:pPr>
        <w:spacing w:line="600" w:lineRule="exact"/>
        <w:ind w:firstLine="640"/>
        <w:rPr>
          <w:rFonts w:ascii="仿宋_GB2312"/>
          <w:szCs w:val="32"/>
        </w:rPr>
      </w:pPr>
      <w:r>
        <w:rPr>
          <w:rFonts w:hint="eastAsia" w:ascii="仿宋_GB2312"/>
          <w:szCs w:val="32"/>
        </w:rPr>
        <w:t>（六）已获其他市级人才专项资金资助的，不再重复资助。</w:t>
      </w:r>
    </w:p>
    <w:p>
      <w:pPr>
        <w:spacing w:line="600" w:lineRule="exact"/>
        <w:ind w:firstLine="640"/>
        <w:rPr>
          <w:rFonts w:ascii="仿宋_GB2312"/>
          <w:szCs w:val="32"/>
        </w:rPr>
      </w:pPr>
      <w:r>
        <w:rPr>
          <w:rFonts w:hint="eastAsia" w:ascii="仿宋_GB2312"/>
          <w:szCs w:val="32"/>
        </w:rPr>
        <w:t>（七）对聘请的各类外国专家提供居留和出入境、医疗保障、子女就学、人才信息等方面的便捷服务，逐步形成引进、培养、使用、激励、保障国外智力的全方位、多层次扶持政策体系。</w:t>
      </w:r>
    </w:p>
    <w:p>
      <w:pPr>
        <w:spacing w:line="600" w:lineRule="exact"/>
        <w:ind w:firstLine="640"/>
        <w:rPr>
          <w:rFonts w:ascii="黑体" w:hAnsi="黑体" w:eastAsia="黑体"/>
          <w:szCs w:val="32"/>
        </w:rPr>
      </w:pPr>
      <w:r>
        <w:rPr>
          <w:rFonts w:hint="eastAsia" w:ascii="黑体" w:hAnsi="黑体" w:eastAsia="黑体"/>
          <w:szCs w:val="32"/>
        </w:rPr>
        <w:t>四、申报程序</w:t>
      </w:r>
    </w:p>
    <w:p>
      <w:pPr>
        <w:spacing w:line="600" w:lineRule="exact"/>
        <w:ind w:firstLine="640"/>
        <w:rPr>
          <w:rFonts w:ascii="仿宋_GB2312" w:hAnsi="Tahoma" w:cs="仿宋_GB2312"/>
          <w:color w:val="000000"/>
          <w:kern w:val="0"/>
          <w:szCs w:val="32"/>
          <w:shd w:val="clear" w:color="auto" w:fill="FFFFFF"/>
        </w:rPr>
      </w:pPr>
      <w:r>
        <w:rPr>
          <w:rFonts w:hint="eastAsia" w:ascii="仿宋_GB2312"/>
          <w:szCs w:val="32"/>
        </w:rPr>
        <w:t>1．网上申报。符合上述申报条件的引智单位请于2020年2月10日-3月13日登录</w:t>
      </w:r>
      <w:r>
        <w:rPr>
          <w:rFonts w:hint="eastAsia" w:ascii="仿宋_GB2312" w:hAnsi="Tahoma" w:cs="仿宋_GB2312"/>
          <w:color w:val="000000"/>
          <w:kern w:val="0"/>
          <w:szCs w:val="32"/>
          <w:shd w:val="clear" w:color="auto" w:fill="FFFFFF"/>
        </w:rPr>
        <w:t>杭州市科技创新云服务平台</w:t>
      </w:r>
      <w:r>
        <w:rPr>
          <w:color w:val="000000"/>
          <w:kern w:val="0"/>
          <w:szCs w:val="32"/>
          <w:shd w:val="clear" w:color="auto" w:fill="FFFFFF"/>
        </w:rPr>
        <w:t>（</w:t>
      </w:r>
      <w:r>
        <w:fldChar w:fldCharType="begin"/>
      </w:r>
      <w:r>
        <w:instrText xml:space="preserve"> HYPERLINK "http://kj.hangzhou.gov.cn/" </w:instrText>
      </w:r>
      <w:r>
        <w:fldChar w:fldCharType="separate"/>
      </w:r>
      <w:r>
        <w:rPr>
          <w:color w:val="000000"/>
          <w:kern w:val="0"/>
          <w:szCs w:val="32"/>
        </w:rPr>
        <w:t>http://</w:t>
      </w:r>
      <w:r>
        <w:rPr>
          <w:color w:val="000000"/>
          <w:kern w:val="0"/>
          <w:szCs w:val="32"/>
          <w:shd w:val="clear" w:color="auto" w:fill="FFFFFF"/>
        </w:rPr>
        <w:t xml:space="preserve"> </w:t>
      </w:r>
      <w:r>
        <w:rPr>
          <w:color w:val="000000"/>
          <w:kern w:val="0"/>
          <w:szCs w:val="32"/>
        </w:rPr>
        <w:t>d.zjsti.gov.cn/ccphangzhou/</w:t>
      </w:r>
      <w:r>
        <w:rPr>
          <w:color w:val="000000"/>
          <w:kern w:val="0"/>
          <w:szCs w:val="32"/>
        </w:rPr>
        <w:fldChar w:fldCharType="end"/>
      </w:r>
      <w:r>
        <w:rPr>
          <w:color w:val="000000"/>
          <w:kern w:val="0"/>
          <w:szCs w:val="32"/>
          <w:shd w:val="clear" w:color="auto" w:fill="FFFFFF"/>
        </w:rPr>
        <w:t>）</w:t>
      </w:r>
      <w:r>
        <w:rPr>
          <w:rFonts w:hint="eastAsia" w:ascii="仿宋_GB2312" w:hAnsi="Tahoma" w:cs="仿宋_GB2312"/>
          <w:color w:val="000000"/>
          <w:kern w:val="0"/>
          <w:szCs w:val="32"/>
          <w:shd w:val="clear" w:color="auto" w:fill="FFFFFF"/>
        </w:rPr>
        <w:t>进行</w:t>
      </w:r>
      <w:r>
        <w:rPr>
          <w:rFonts w:hint="eastAsia" w:ascii="仿宋_GB2312"/>
          <w:szCs w:val="32"/>
        </w:rPr>
        <w:t>网上申报。</w:t>
      </w:r>
      <w:r>
        <w:rPr>
          <w:rFonts w:hint="eastAsia" w:ascii="仿宋_GB2312" w:hAnsi="Tahoma" w:cs="仿宋_GB2312"/>
          <w:color w:val="000000"/>
          <w:kern w:val="0"/>
          <w:szCs w:val="32"/>
          <w:shd w:val="clear" w:color="auto" w:fill="FFFFFF"/>
        </w:rPr>
        <w:t xml:space="preserve">申报单位为企业的，请点击“法人登录”，系统会自动跳转到浙江省政务服务网，完善信息后，需经区、县（市）和钱塘新区科技部门审核通过；申报单位为事业单位的，请申请人点击“个人登录”，系统会自动跳转到浙江省政务服务网，如已有账号（没有账号请先完成注册），直接输入，登录即可，系统会自动跳转至杭州市科技创新云服务平台，完善个人信息，务必准确填写单位，提交保存后及时联系本单位审核，之后就可以开始项目申报工作。  </w:t>
      </w:r>
    </w:p>
    <w:p>
      <w:pPr>
        <w:spacing w:line="600" w:lineRule="exact"/>
        <w:ind w:firstLine="640"/>
        <w:rPr>
          <w:rFonts w:ascii="仿宋_GB2312"/>
          <w:szCs w:val="32"/>
        </w:rPr>
      </w:pPr>
      <w:r>
        <w:rPr>
          <w:rFonts w:hint="eastAsia" w:ascii="仿宋_GB2312" w:hAnsi="Tahoma" w:cs="仿宋_GB2312"/>
          <w:color w:val="000000"/>
          <w:kern w:val="0"/>
          <w:szCs w:val="32"/>
          <w:shd w:val="clear" w:color="auto" w:fill="FFFFFF"/>
        </w:rPr>
        <w:t>2．</w:t>
      </w:r>
      <w:r>
        <w:rPr>
          <w:rFonts w:ascii="仿宋_GB2312"/>
          <w:szCs w:val="32"/>
        </w:rPr>
        <w:t>在线审核。</w:t>
      </w:r>
      <w:r>
        <w:rPr>
          <w:rFonts w:hint="eastAsia" w:ascii="仿宋_GB2312"/>
          <w:szCs w:val="32"/>
        </w:rPr>
        <w:t>请各区、县（市）科技局按隶属关系进行网上初审，市外专局进行网上复审；市直单位由市外专局审核。通过网上审核的项目，申报单位将纸质材料（含系统生成的表格和上传附件）报送至区、县（市）科技部门或市直主管部门，经科技部门会同财政部门或市直主管部门确认汇总后，报市外专局。</w:t>
      </w:r>
    </w:p>
    <w:p>
      <w:pPr>
        <w:spacing w:line="600" w:lineRule="exact"/>
        <w:ind w:firstLine="640"/>
        <w:rPr>
          <w:rFonts w:ascii="黑体" w:hAnsi="黑体" w:eastAsia="黑体"/>
          <w:szCs w:val="32"/>
        </w:rPr>
      </w:pPr>
      <w:r>
        <w:rPr>
          <w:rFonts w:hint="eastAsia" w:ascii="黑体" w:hAnsi="黑体" w:eastAsia="黑体"/>
          <w:szCs w:val="32"/>
        </w:rPr>
        <w:t>五、上报材料和时间要求</w:t>
      </w:r>
    </w:p>
    <w:p>
      <w:pPr>
        <w:spacing w:line="600" w:lineRule="exact"/>
        <w:ind w:firstLine="480" w:firstLineChars="150"/>
        <w:rPr>
          <w:rFonts w:ascii="楷体_GB2312" w:hAnsi="楷体" w:eastAsia="楷体_GB2312"/>
          <w:szCs w:val="32"/>
        </w:rPr>
      </w:pPr>
      <w:r>
        <w:rPr>
          <w:rFonts w:hint="eastAsia" w:ascii="楷体_GB2312" w:hAnsi="楷体" w:eastAsia="楷体_GB2312"/>
          <w:szCs w:val="32"/>
        </w:rPr>
        <w:t>（一）上报材料</w:t>
      </w:r>
    </w:p>
    <w:p>
      <w:pPr>
        <w:spacing w:line="600" w:lineRule="exact"/>
        <w:ind w:firstLine="640"/>
        <w:rPr>
          <w:rFonts w:ascii="仿宋_GB2312"/>
          <w:szCs w:val="32"/>
        </w:rPr>
      </w:pPr>
      <w:r>
        <w:rPr>
          <w:rFonts w:hint="eastAsia" w:ascii="仿宋_GB2312"/>
          <w:szCs w:val="32"/>
        </w:rPr>
        <w:t>1.各申报单位按申报系统要求如实填写相关内容；</w:t>
      </w:r>
    </w:p>
    <w:p>
      <w:pPr>
        <w:spacing w:line="600" w:lineRule="exact"/>
        <w:ind w:firstLine="640"/>
        <w:rPr>
          <w:rFonts w:ascii="仿宋_GB2312"/>
          <w:szCs w:val="32"/>
        </w:rPr>
      </w:pPr>
      <w:r>
        <w:rPr>
          <w:rFonts w:hint="eastAsia" w:ascii="仿宋_GB2312"/>
          <w:szCs w:val="32"/>
        </w:rPr>
        <w:t>2.申报引进高端外国专家项目的，附件内容应包括：外国专家护照复印件、申报单位和外国专家签署的聘用合同原件、证明外国专家符合申报条件的海外任职证明或知识产权证书等相关材料。请同时附上该专家主要承担项目的项目简介（介绍该项目在行业和专业领域所具有的先进性、前瞻性和引智成果示范推广所能产生的社会效益或经济效益前景等情况），或列入国家、省或市级行业或部门发展规划的有关批件复印件等，以便在高端外国专家年薪评审未通过的情况下，继续参与引进国外智力项目的评审。</w:t>
      </w:r>
    </w:p>
    <w:p>
      <w:pPr>
        <w:spacing w:line="600" w:lineRule="exact"/>
        <w:ind w:firstLine="640"/>
        <w:rPr>
          <w:rFonts w:ascii="仿宋_GB2312"/>
          <w:szCs w:val="32"/>
        </w:rPr>
      </w:pPr>
      <w:r>
        <w:rPr>
          <w:rFonts w:hint="eastAsia" w:ascii="仿宋_GB2312"/>
          <w:szCs w:val="32"/>
        </w:rPr>
        <w:t>3.申报引进国（境）外智力项目的，附件内容应包括：国（境）外专家护照（身份证件）复印件，项目简介（介绍该项目在行业和专业领域所具有的先进性、前瞻性和引智成果示范推广所能产生的社会效益或经济效益前景等情况），或列入国家、省或市级行业或部门发展规划的有关批件复印件等。</w:t>
      </w:r>
    </w:p>
    <w:p>
      <w:pPr>
        <w:spacing w:line="600" w:lineRule="exact"/>
        <w:ind w:firstLine="640"/>
        <w:rPr>
          <w:rFonts w:ascii="仿宋_GB2312"/>
          <w:szCs w:val="32"/>
        </w:rPr>
      </w:pPr>
      <w:r>
        <w:rPr>
          <w:rFonts w:hint="eastAsia" w:ascii="仿宋_GB2312"/>
          <w:szCs w:val="32"/>
        </w:rPr>
        <w:t>4.其他与申报相关的材料可同时作为附件上传。</w:t>
      </w:r>
    </w:p>
    <w:p>
      <w:pPr>
        <w:spacing w:line="600" w:lineRule="exact"/>
        <w:ind w:firstLine="640"/>
        <w:rPr>
          <w:rFonts w:ascii="仿宋_GB2312"/>
          <w:szCs w:val="32"/>
        </w:rPr>
      </w:pPr>
      <w:r>
        <w:rPr>
          <w:rFonts w:hint="eastAsia" w:ascii="仿宋_GB2312"/>
          <w:szCs w:val="32"/>
        </w:rPr>
        <w:t>5.附件材料要求为一个PDF文件，并编写目录和页码。</w:t>
      </w:r>
    </w:p>
    <w:p>
      <w:pPr>
        <w:spacing w:line="600" w:lineRule="exact"/>
        <w:ind w:firstLine="480" w:firstLineChars="150"/>
        <w:rPr>
          <w:rFonts w:ascii="楷体_GB2312" w:hAnsi="楷体" w:eastAsia="楷体_GB2312"/>
          <w:szCs w:val="32"/>
        </w:rPr>
      </w:pPr>
      <w:r>
        <w:rPr>
          <w:rFonts w:hint="eastAsia" w:ascii="楷体_GB2312" w:hAnsi="楷体" w:eastAsia="楷体_GB2312"/>
          <w:szCs w:val="32"/>
        </w:rPr>
        <w:t>（二）时间要求</w:t>
      </w:r>
    </w:p>
    <w:p>
      <w:pPr>
        <w:spacing w:line="600" w:lineRule="exact"/>
        <w:ind w:firstLine="640"/>
        <w:rPr>
          <w:rFonts w:ascii="仿宋_GB2312" w:hAnsi="宋体" w:cs="宋体"/>
          <w:kern w:val="0"/>
          <w:szCs w:val="32"/>
        </w:rPr>
      </w:pPr>
      <w:r>
        <w:rPr>
          <w:rFonts w:hint="eastAsia" w:ascii="仿宋_GB2312" w:hAnsi="宋体" w:cs="宋体"/>
          <w:kern w:val="0"/>
          <w:szCs w:val="32"/>
        </w:rPr>
        <w:t>1.</w:t>
      </w:r>
      <w:r>
        <w:rPr>
          <w:rFonts w:ascii="仿宋_GB2312" w:hAnsi="宋体" w:cs="宋体"/>
          <w:kern w:val="0"/>
          <w:szCs w:val="32"/>
        </w:rPr>
        <w:t>20</w:t>
      </w:r>
      <w:r>
        <w:rPr>
          <w:rFonts w:hint="eastAsia" w:ascii="仿宋_GB2312" w:hAnsi="宋体" w:cs="宋体"/>
          <w:kern w:val="0"/>
          <w:szCs w:val="32"/>
        </w:rPr>
        <w:t>20</w:t>
      </w:r>
      <w:r>
        <w:rPr>
          <w:rFonts w:ascii="仿宋_GB2312" w:hAnsi="宋体" w:cs="宋体"/>
          <w:kern w:val="0"/>
          <w:szCs w:val="32"/>
        </w:rPr>
        <w:t>年</w:t>
      </w:r>
      <w:r>
        <w:rPr>
          <w:rFonts w:hint="eastAsia" w:ascii="仿宋_GB2312" w:hAnsi="宋体" w:cs="宋体"/>
          <w:kern w:val="0"/>
          <w:szCs w:val="32"/>
        </w:rPr>
        <w:t>3</w:t>
      </w:r>
      <w:r>
        <w:rPr>
          <w:rFonts w:ascii="仿宋_GB2312" w:hAnsi="宋体" w:cs="宋体"/>
          <w:kern w:val="0"/>
          <w:szCs w:val="32"/>
        </w:rPr>
        <w:t>月</w:t>
      </w:r>
      <w:r>
        <w:rPr>
          <w:rFonts w:hint="eastAsia" w:ascii="仿宋_GB2312" w:hAnsi="宋体" w:cs="宋体"/>
          <w:kern w:val="0"/>
          <w:szCs w:val="32"/>
        </w:rPr>
        <w:t>20日前，各区、县（市）科技局或市外专局完成网上初审。</w:t>
      </w:r>
    </w:p>
    <w:p>
      <w:pPr>
        <w:spacing w:line="600" w:lineRule="exact"/>
        <w:ind w:firstLine="640"/>
        <w:rPr>
          <w:rFonts w:ascii="仿宋_GB2312" w:hAnsi="宋体" w:cs="宋体"/>
          <w:kern w:val="0"/>
          <w:szCs w:val="32"/>
        </w:rPr>
      </w:pPr>
      <w:r>
        <w:rPr>
          <w:rFonts w:hint="eastAsia" w:ascii="仿宋_GB2312" w:hAnsi="宋体" w:cs="宋体"/>
          <w:kern w:val="0"/>
          <w:szCs w:val="32"/>
        </w:rPr>
        <w:t>2.</w:t>
      </w:r>
      <w:r>
        <w:rPr>
          <w:rFonts w:ascii="仿宋_GB2312" w:hAnsi="宋体" w:cs="宋体"/>
          <w:kern w:val="0"/>
          <w:szCs w:val="32"/>
        </w:rPr>
        <w:t>20</w:t>
      </w:r>
      <w:r>
        <w:rPr>
          <w:rFonts w:hint="eastAsia" w:ascii="仿宋_GB2312" w:hAnsi="宋体" w:cs="宋体"/>
          <w:kern w:val="0"/>
          <w:szCs w:val="32"/>
        </w:rPr>
        <w:t>20</w:t>
      </w:r>
      <w:r>
        <w:rPr>
          <w:rFonts w:ascii="仿宋_GB2312" w:hAnsi="宋体" w:cs="宋体"/>
          <w:kern w:val="0"/>
          <w:szCs w:val="32"/>
        </w:rPr>
        <w:t>年</w:t>
      </w:r>
      <w:r>
        <w:rPr>
          <w:rFonts w:hint="eastAsia" w:ascii="仿宋_GB2312" w:hAnsi="宋体" w:cs="宋体"/>
          <w:kern w:val="0"/>
          <w:szCs w:val="32"/>
        </w:rPr>
        <w:t>3</w:t>
      </w:r>
      <w:r>
        <w:rPr>
          <w:rFonts w:ascii="仿宋_GB2312" w:hAnsi="宋体" w:cs="宋体"/>
          <w:kern w:val="0"/>
          <w:szCs w:val="32"/>
        </w:rPr>
        <w:t>月</w:t>
      </w:r>
      <w:r>
        <w:rPr>
          <w:rFonts w:hint="eastAsia" w:ascii="仿宋_GB2312" w:hAnsi="宋体" w:cs="宋体"/>
          <w:kern w:val="0"/>
          <w:szCs w:val="32"/>
        </w:rPr>
        <w:t>25日前，市外专局完成网上复审。</w:t>
      </w:r>
    </w:p>
    <w:p>
      <w:pPr>
        <w:spacing w:line="600" w:lineRule="exact"/>
        <w:ind w:firstLine="640"/>
        <w:rPr>
          <w:rFonts w:ascii="仿宋_GB2312"/>
          <w:szCs w:val="32"/>
        </w:rPr>
      </w:pPr>
      <w:r>
        <w:rPr>
          <w:rFonts w:hint="eastAsia" w:ascii="仿宋_GB2312" w:hAnsi="宋体" w:cs="宋体"/>
          <w:kern w:val="0"/>
          <w:szCs w:val="32"/>
        </w:rPr>
        <w:t>3.</w:t>
      </w:r>
      <w:r>
        <w:rPr>
          <w:rFonts w:ascii="仿宋_GB2312" w:hAnsi="宋体" w:cs="宋体"/>
          <w:kern w:val="0"/>
          <w:szCs w:val="32"/>
        </w:rPr>
        <w:t>20</w:t>
      </w:r>
      <w:r>
        <w:rPr>
          <w:rFonts w:hint="eastAsia" w:ascii="仿宋_GB2312" w:hAnsi="宋体" w:cs="宋体"/>
          <w:kern w:val="0"/>
          <w:szCs w:val="32"/>
        </w:rPr>
        <w:t>19</w:t>
      </w:r>
      <w:r>
        <w:rPr>
          <w:rFonts w:ascii="仿宋_GB2312" w:hAnsi="宋体" w:cs="宋体"/>
          <w:kern w:val="0"/>
          <w:szCs w:val="32"/>
        </w:rPr>
        <w:t>年</w:t>
      </w:r>
      <w:r>
        <w:rPr>
          <w:rFonts w:hint="eastAsia" w:ascii="仿宋_GB2312" w:hAnsi="宋体" w:cs="宋体"/>
          <w:kern w:val="0"/>
          <w:szCs w:val="32"/>
        </w:rPr>
        <w:t>3</w:t>
      </w:r>
      <w:r>
        <w:rPr>
          <w:rFonts w:ascii="仿宋_GB2312" w:hAnsi="宋体" w:cs="宋体"/>
          <w:kern w:val="0"/>
          <w:szCs w:val="32"/>
        </w:rPr>
        <w:t>月</w:t>
      </w:r>
      <w:r>
        <w:rPr>
          <w:rFonts w:hint="eastAsia" w:ascii="仿宋_GB2312" w:hAnsi="宋体" w:cs="宋体"/>
          <w:kern w:val="0"/>
          <w:szCs w:val="32"/>
        </w:rPr>
        <w:t>31日前，</w:t>
      </w:r>
      <w:r>
        <w:rPr>
          <w:rFonts w:hint="eastAsia" w:ascii="仿宋_GB2312"/>
          <w:szCs w:val="32"/>
        </w:rPr>
        <w:t>经科技部门会同财政部门或市直主管部门确认汇总后，将纸质材料报市外专局。</w:t>
      </w:r>
    </w:p>
    <w:p>
      <w:pPr>
        <w:ind w:firstLine="640"/>
      </w:pPr>
    </w:p>
    <w:p>
      <w:pPr>
        <w:ind w:firstLine="640"/>
        <w:jc w:val="right"/>
        <w:rPr>
          <w:rFonts w:ascii="仿宋_GB2312" w:hAnsi="宋体" w:cs="宋体"/>
          <w:kern w:val="0"/>
          <w:szCs w:val="32"/>
        </w:rPr>
      </w:pPr>
    </w:p>
    <w:p>
      <w:pPr>
        <w:ind w:firstLine="640"/>
        <w:rPr>
          <w:rFonts w:ascii="仿宋_GB2312" w:hAnsi="宋体" w:cs="宋体"/>
          <w:kern w:val="0"/>
          <w:szCs w:val="32"/>
        </w:rPr>
      </w:pPr>
      <w:r>
        <w:rPr>
          <w:rFonts w:hint="eastAsia" w:ascii="仿宋_GB2312" w:hAnsi="宋体" w:cs="宋体"/>
          <w:kern w:val="0"/>
          <w:szCs w:val="32"/>
        </w:rPr>
        <w:t xml:space="preserve">                           杭州市科学技术局</w:t>
      </w:r>
    </w:p>
    <w:p>
      <w:pPr>
        <w:ind w:right="1216" w:rightChars="380" w:firstLine="640"/>
        <w:jc w:val="right"/>
        <w:rPr>
          <w:rFonts w:ascii="仿宋_GB2312" w:hAnsi="宋体" w:cs="宋体"/>
          <w:kern w:val="0"/>
          <w:szCs w:val="32"/>
        </w:rPr>
      </w:pPr>
      <w:r>
        <w:rPr>
          <w:rFonts w:hint="eastAsia" w:ascii="仿宋_GB2312" w:hAnsi="宋体" w:cs="宋体"/>
          <w:kern w:val="0"/>
          <w:szCs w:val="32"/>
        </w:rPr>
        <w:t>2020年</w:t>
      </w:r>
      <w:r>
        <w:rPr>
          <w:rFonts w:hint="eastAsia" w:ascii="仿宋_GB2312" w:hAnsi="宋体" w:cs="宋体"/>
          <w:kern w:val="0"/>
          <w:szCs w:val="32"/>
          <w:lang w:val="en-US" w:eastAsia="zh-CN"/>
        </w:rPr>
        <w:t>1</w:t>
      </w:r>
      <w:r>
        <w:rPr>
          <w:rFonts w:hint="eastAsia" w:ascii="仿宋_GB2312" w:hAnsi="宋体" w:cs="宋体"/>
          <w:kern w:val="0"/>
          <w:szCs w:val="32"/>
        </w:rPr>
        <w:t>月</w:t>
      </w:r>
      <w:r>
        <w:rPr>
          <w:rFonts w:hint="eastAsia" w:ascii="仿宋_GB2312" w:hAnsi="宋体" w:cs="宋体"/>
          <w:kern w:val="0"/>
          <w:szCs w:val="32"/>
          <w:lang w:val="en-US" w:eastAsia="zh-CN"/>
        </w:rPr>
        <w:t>21</w:t>
      </w:r>
      <w:r>
        <w:rPr>
          <w:rFonts w:hint="eastAsia" w:ascii="仿宋_GB2312" w:hAnsi="宋体" w:cs="宋体"/>
          <w:kern w:val="0"/>
          <w:szCs w:val="32"/>
        </w:rPr>
        <w:t>日</w:t>
      </w:r>
    </w:p>
    <w:p>
      <w:pPr>
        <w:spacing w:line="400" w:lineRule="exact"/>
        <w:ind w:firstLine="883"/>
        <w:jc w:val="center"/>
        <w:rPr>
          <w:b/>
          <w:bCs/>
          <w:sz w:val="44"/>
          <w:u w:val="single"/>
        </w:rPr>
      </w:pPr>
    </w:p>
    <w:p>
      <w:pPr>
        <w:spacing w:line="400" w:lineRule="exact"/>
        <w:ind w:firstLine="883"/>
        <w:jc w:val="center"/>
        <w:rPr>
          <w:b/>
          <w:bCs/>
          <w:sz w:val="44"/>
          <w:u w:val="single"/>
        </w:rPr>
      </w:pPr>
    </w:p>
    <w:p>
      <w:pPr>
        <w:spacing w:line="400" w:lineRule="exact"/>
        <w:ind w:firstLine="883"/>
        <w:jc w:val="center"/>
        <w:rPr>
          <w:b/>
          <w:bCs/>
          <w:sz w:val="44"/>
          <w:u w:val="single"/>
        </w:rPr>
      </w:pPr>
    </w:p>
    <w:p>
      <w:pPr>
        <w:spacing w:line="400" w:lineRule="exact"/>
        <w:ind w:firstLine="883"/>
        <w:jc w:val="center"/>
        <w:rPr>
          <w:b/>
          <w:bCs/>
          <w:sz w:val="44"/>
          <w:u w:val="single"/>
        </w:rPr>
      </w:pPr>
    </w:p>
    <w:p>
      <w:pPr>
        <w:spacing w:line="400" w:lineRule="exact"/>
        <w:ind w:firstLine="883"/>
        <w:jc w:val="center"/>
        <w:rPr>
          <w:b/>
          <w:bCs/>
          <w:sz w:val="44"/>
          <w:u w:val="single"/>
        </w:rPr>
      </w:pPr>
    </w:p>
    <w:p>
      <w:pPr>
        <w:spacing w:line="400" w:lineRule="exact"/>
        <w:ind w:firstLine="883"/>
        <w:jc w:val="center"/>
        <w:rPr>
          <w:b/>
          <w:bCs/>
          <w:sz w:val="44"/>
          <w:u w:val="single"/>
        </w:rPr>
      </w:pPr>
    </w:p>
    <w:p>
      <w:pPr>
        <w:spacing w:line="400" w:lineRule="exact"/>
        <w:ind w:firstLine="883"/>
        <w:jc w:val="center"/>
        <w:rPr>
          <w:b/>
          <w:bCs/>
          <w:sz w:val="44"/>
          <w:u w:val="single"/>
        </w:rPr>
      </w:pPr>
    </w:p>
    <w:p>
      <w:pPr>
        <w:spacing w:line="400" w:lineRule="exact"/>
        <w:ind w:firstLine="883"/>
        <w:jc w:val="center"/>
        <w:rPr>
          <w:b/>
          <w:bCs/>
          <w:sz w:val="44"/>
          <w:u w:val="single"/>
        </w:rPr>
      </w:pPr>
    </w:p>
    <w:p>
      <w:pPr>
        <w:spacing w:line="400" w:lineRule="exact"/>
        <w:ind w:firstLine="883"/>
        <w:jc w:val="center"/>
        <w:rPr>
          <w:b/>
          <w:bCs/>
          <w:sz w:val="44"/>
          <w:u w:val="single"/>
        </w:rPr>
      </w:pPr>
    </w:p>
    <w:p>
      <w:pPr>
        <w:spacing w:line="400" w:lineRule="exact"/>
        <w:ind w:firstLine="883"/>
        <w:jc w:val="center"/>
        <w:rPr>
          <w:b/>
          <w:bCs/>
          <w:sz w:val="44"/>
          <w:u w:val="single"/>
        </w:rPr>
      </w:pPr>
    </w:p>
    <w:p>
      <w:pPr>
        <w:spacing w:line="400" w:lineRule="exact"/>
        <w:ind w:firstLine="883"/>
        <w:jc w:val="center"/>
        <w:rPr>
          <w:b/>
          <w:bCs/>
          <w:sz w:val="44"/>
          <w:u w:val="single"/>
        </w:rPr>
      </w:pPr>
    </w:p>
    <w:p>
      <w:pPr>
        <w:spacing w:line="400" w:lineRule="exact"/>
        <w:ind w:firstLine="883"/>
        <w:jc w:val="center"/>
        <w:rPr>
          <w:b/>
          <w:bCs/>
          <w:sz w:val="44"/>
          <w:u w:val="single"/>
        </w:rPr>
      </w:pPr>
    </w:p>
    <w:p>
      <w:pPr>
        <w:spacing w:line="400" w:lineRule="exact"/>
        <w:ind w:firstLine="883"/>
        <w:jc w:val="center"/>
        <w:rPr>
          <w:b/>
          <w:bCs/>
          <w:sz w:val="44"/>
          <w:u w:val="single"/>
        </w:rPr>
      </w:pPr>
    </w:p>
    <w:p>
      <w:pPr>
        <w:spacing w:line="400" w:lineRule="exact"/>
        <w:ind w:firstLine="883"/>
        <w:jc w:val="center"/>
        <w:rPr>
          <w:b/>
          <w:bCs/>
          <w:sz w:val="44"/>
          <w:u w:val="single"/>
        </w:rPr>
      </w:pPr>
    </w:p>
    <w:p>
      <w:pPr>
        <w:spacing w:line="400" w:lineRule="exact"/>
        <w:ind w:firstLine="883"/>
        <w:jc w:val="center"/>
        <w:rPr>
          <w:b/>
          <w:bCs/>
          <w:sz w:val="44"/>
          <w:u w:val="single"/>
        </w:rPr>
      </w:pPr>
    </w:p>
    <w:p>
      <w:pPr>
        <w:spacing w:line="400" w:lineRule="exact"/>
        <w:ind w:firstLine="883"/>
        <w:jc w:val="center"/>
        <w:rPr>
          <w:b/>
          <w:bCs/>
          <w:sz w:val="44"/>
          <w:u w:val="single"/>
        </w:rPr>
      </w:pPr>
    </w:p>
    <w:p>
      <w:pPr>
        <w:spacing w:line="400" w:lineRule="exact"/>
        <w:ind w:firstLine="883"/>
        <w:jc w:val="center"/>
        <w:rPr>
          <w:b/>
          <w:bCs/>
          <w:sz w:val="44"/>
          <w:u w:val="single"/>
        </w:rPr>
      </w:pPr>
    </w:p>
    <w:p>
      <w:pPr>
        <w:spacing w:line="400" w:lineRule="exact"/>
        <w:ind w:firstLine="883"/>
        <w:jc w:val="center"/>
        <w:rPr>
          <w:b/>
          <w:bCs/>
          <w:sz w:val="44"/>
          <w:u w:val="single"/>
        </w:rPr>
      </w:pPr>
    </w:p>
    <w:p>
      <w:pPr>
        <w:spacing w:line="400" w:lineRule="exact"/>
        <w:ind w:firstLine="883"/>
        <w:jc w:val="center"/>
        <w:rPr>
          <w:b/>
          <w:bCs/>
          <w:sz w:val="44"/>
          <w:u w:val="single"/>
        </w:rPr>
      </w:pPr>
    </w:p>
    <w:p>
      <w:pPr>
        <w:spacing w:line="400" w:lineRule="exact"/>
        <w:ind w:firstLine="883"/>
        <w:jc w:val="center"/>
        <w:rPr>
          <w:b/>
          <w:bCs/>
          <w:sz w:val="44"/>
          <w:u w:val="single"/>
        </w:rPr>
      </w:pPr>
    </w:p>
    <w:p>
      <w:pPr>
        <w:spacing w:line="400" w:lineRule="exact"/>
        <w:ind w:firstLine="883"/>
        <w:jc w:val="center"/>
        <w:rPr>
          <w:b/>
          <w:bCs/>
          <w:sz w:val="44"/>
          <w:u w:val="single"/>
        </w:rPr>
      </w:pPr>
    </w:p>
    <w:p>
      <w:pPr>
        <w:spacing w:line="400" w:lineRule="exact"/>
        <w:ind w:firstLine="883"/>
        <w:jc w:val="center"/>
        <w:rPr>
          <w:b/>
          <w:bCs/>
          <w:sz w:val="44"/>
          <w:u w:val="single"/>
        </w:rPr>
      </w:pPr>
    </w:p>
    <w:p>
      <w:pPr>
        <w:spacing w:line="400" w:lineRule="exact"/>
        <w:ind w:firstLine="883"/>
        <w:jc w:val="center"/>
        <w:rPr>
          <w:b/>
          <w:bCs/>
          <w:sz w:val="44"/>
          <w:u w:val="single"/>
        </w:rPr>
      </w:pPr>
    </w:p>
    <w:p>
      <w:pPr>
        <w:spacing w:line="400" w:lineRule="exact"/>
        <w:ind w:firstLine="883"/>
        <w:jc w:val="center"/>
        <w:rPr>
          <w:b/>
          <w:bCs/>
          <w:sz w:val="44"/>
          <w:u w:val="single"/>
        </w:rPr>
      </w:pPr>
    </w:p>
    <w:p>
      <w:pPr>
        <w:spacing w:line="400" w:lineRule="exact"/>
        <w:ind w:firstLine="883"/>
        <w:jc w:val="center"/>
        <w:rPr>
          <w:b/>
          <w:bCs/>
          <w:sz w:val="44"/>
          <w:u w:val="single"/>
        </w:rPr>
      </w:pPr>
    </w:p>
    <w:p>
      <w:pPr>
        <w:spacing w:line="400" w:lineRule="exact"/>
        <w:ind w:firstLine="883"/>
        <w:jc w:val="center"/>
        <w:rPr>
          <w:b/>
          <w:bCs/>
          <w:sz w:val="44"/>
          <w:u w:val="single"/>
        </w:rPr>
      </w:pPr>
    </w:p>
    <w:p>
      <w:pPr>
        <w:spacing w:line="400" w:lineRule="exact"/>
        <w:ind w:firstLine="883"/>
        <w:jc w:val="center"/>
        <w:rPr>
          <w:b/>
          <w:bCs/>
          <w:sz w:val="44"/>
          <w:u w:val="single"/>
        </w:rPr>
      </w:pPr>
    </w:p>
    <w:p>
      <w:pPr>
        <w:spacing w:before="120" w:beforeLines="50" w:line="400" w:lineRule="exact"/>
        <w:ind w:firstLine="883"/>
        <w:jc w:val="center"/>
        <w:rPr>
          <w:b/>
          <w:bCs/>
          <w:sz w:val="44"/>
          <w:u w:val="single"/>
        </w:rPr>
      </w:pPr>
    </w:p>
    <w:p>
      <w:pPr>
        <w:spacing w:line="400" w:lineRule="exact"/>
        <w:ind w:firstLine="883"/>
        <w:jc w:val="center"/>
        <w:rPr>
          <w:b/>
          <w:bCs/>
          <w:sz w:val="44"/>
          <w:u w:val="single"/>
        </w:rPr>
      </w:pPr>
    </w:p>
    <w:p>
      <w:pPr>
        <w:spacing w:line="400" w:lineRule="exact"/>
        <w:ind w:firstLine="883"/>
        <w:jc w:val="center"/>
        <w:rPr>
          <w:b/>
          <w:bCs/>
          <w:sz w:val="44"/>
          <w:u w:val="single"/>
        </w:rPr>
      </w:pPr>
    </w:p>
    <w:p>
      <w:pPr>
        <w:pStyle w:val="2"/>
        <w:spacing w:before="48" w:beforeLines="20" w:line="500" w:lineRule="exact"/>
        <w:ind w:firstLine="280" w:firstLineChars="100"/>
      </w:pPr>
      <w:r>
        <w:rPr>
          <w:rFonts w:ascii="黑体" w:eastAsia="黑体"/>
          <w:color w:val="000000"/>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38100</wp:posOffset>
                </wp:positionV>
                <wp:extent cx="5486400" cy="0"/>
                <wp:effectExtent l="0" t="0" r="0" b="0"/>
                <wp:wrapNone/>
                <wp:docPr id="1" name="直线 2"/>
                <wp:cNvGraphicFramePr/>
                <a:graphic xmlns:a="http://schemas.openxmlformats.org/drawingml/2006/main">
                  <a:graphicData uri="http://schemas.microsoft.com/office/word/2010/wordprocessingShape">
                    <wps:wsp>
                      <wps:cNvCnPr/>
                      <wps:spPr>
                        <a:xfrm>
                          <a:off x="0" y="0"/>
                          <a:ext cx="5486400" cy="0"/>
                        </a:xfrm>
                        <a:prstGeom prst="line">
                          <a:avLst/>
                        </a:prstGeom>
                        <a:ln w="6350" cap="flat" cmpd="sng">
                          <a:solidFill>
                            <a:srgbClr val="000000"/>
                          </a:solidFill>
                          <a:prstDash val="solid"/>
                          <a:headEnd type="none" w="med" len="med"/>
                          <a:tailEnd type="none" w="med" len="med"/>
                        </a:ln>
                      </wps:spPr>
                      <wps:bodyPr/>
                    </wps:wsp>
                  </a:graphicData>
                </a:graphic>
              </wp:anchor>
            </w:drawing>
          </mc:Choice>
          <mc:Fallback>
            <w:pict>
              <v:line id="直线 2" o:spid="_x0000_s1026" o:spt="20" style="position:absolute;left:0pt;margin-left:0pt;margin-top:3pt;height:0pt;width:432pt;z-index:251660288;mso-width-relative:page;mso-height-relative:page;" filled="f" stroked="t" coordsize="21600,21600" o:gfxdata="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EO7XSTRAAAABAEAAA8AAAAAAAAAAQAgAAAAIgAAAGRycy9kb3ducmV2LnhtbFBL&#10;AQIUABQAAAAIAIdO4kDemrBqxAEAAIEDAAAOAAAAAAAAAAEAIAAAACABAABkcnMvZTJvRG9jLnht&#10;bFBLBQYAAAAABgAGAFkBAABWBQAAAAA=&#10;">
                <v:fill on="f" focussize="0,0"/>
                <v:stroke weight="0.5pt" color="#000000" joinstyle="round"/>
                <v:imagedata o:title=""/>
                <o:lock v:ext="edit" aspectratio="f"/>
              </v:line>
            </w:pict>
          </mc:Fallback>
        </mc:AlternateContent>
      </w:r>
      <w:r>
        <w:rPr>
          <w:rFonts w:hint="eastAsia" w:ascii="仿宋_GB2312" w:eastAsia="仿宋_GB2312"/>
          <w:color w:val="000000"/>
          <w:sz w:val="28"/>
          <w:szCs w:val="28"/>
        </w:rPr>
        <w:t>杭州市科技局办公室                   2020年1月21日印发</w:t>
      </w:r>
    </w:p>
    <w:p>
      <w:pPr>
        <w:spacing w:line="400" w:lineRule="exact"/>
        <w:ind w:firstLine="420"/>
        <w:jc w:val="center"/>
      </w:pPr>
      <w:r>
        <w:rPr>
          <w:sz w:val="21"/>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-7620</wp:posOffset>
                </wp:positionV>
                <wp:extent cx="5486400" cy="0"/>
                <wp:effectExtent l="0" t="0" r="0" b="0"/>
                <wp:wrapNone/>
                <wp:docPr id="2" name="直线 3"/>
                <wp:cNvGraphicFramePr/>
                <a:graphic xmlns:a="http://schemas.openxmlformats.org/drawingml/2006/main">
                  <a:graphicData uri="http://schemas.microsoft.com/office/word/2010/wordprocessingShape">
                    <wps:wsp>
                      <wps:cNvCnPr/>
                      <wps:spPr>
                        <a:xfrm>
                          <a:off x="0" y="0"/>
                          <a:ext cx="5486400" cy="0"/>
                        </a:xfrm>
                        <a:prstGeom prst="line">
                          <a:avLst/>
                        </a:prstGeom>
                        <a:ln w="6350" cap="flat" cmpd="sng">
                          <a:solidFill>
                            <a:srgbClr val="000000"/>
                          </a:solidFill>
                          <a:prstDash val="solid"/>
                          <a:headEnd type="none" w="med" len="med"/>
                          <a:tailEnd type="none" w="med" len="med"/>
                        </a:ln>
                      </wps:spPr>
                      <wps:bodyPr/>
                    </wps:wsp>
                  </a:graphicData>
                </a:graphic>
              </wp:anchor>
            </w:drawing>
          </mc:Choice>
          <mc:Fallback>
            <w:pict>
              <v:line id="直线 3" o:spid="_x0000_s1026" o:spt="20" style="position:absolute;left:0pt;margin-left:0pt;margin-top:-0.6pt;height:0pt;width:432pt;z-index:251661312;mso-width-relative:page;mso-height-relative:page;" filled="f" stroked="t" coordsize="21600,21600" o:gfxdata="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ArZPr10gAAAAYBAAAPAAAAAAAAAAEAIAAAACIAAABkcnMvZG93bnJldi54bWxQ&#10;SwECFAAUAAAACACHTuJATaaBoMQBAACBAwAADgAAAAAAAAABACAAAAAhAQAAZHJzL2Uyb0RvYy54&#10;bWxQSwUGAAAAAAYABgBZAQAAVwUAAAAA&#10;">
                <v:fill on="f" focussize="0,0"/>
                <v:stroke weight="0.5pt" color="#000000" joinstyle="round"/>
                <v:imagedata o:title=""/>
                <o:lock v:ext="edit" aspectratio="f"/>
              </v:line>
            </w:pict>
          </mc:Fallback>
        </mc:AlternateContent>
      </w:r>
      <w:bookmarkStart w:id="0" w:name="SubjectOS"/>
      <w:bookmarkEnd w:id="0"/>
      <w:bookmarkStart w:id="1" w:name="IssuedDay"/>
      <w:bookmarkEnd w:id="1"/>
    </w:p>
    <w:sectPr>
      <w:headerReference r:id="rId5" w:type="first"/>
      <w:footerReference r:id="rId8" w:type="first"/>
      <w:headerReference r:id="rId3" w:type="default"/>
      <w:footerReference r:id="rId6" w:type="default"/>
      <w:headerReference r:id="rId4" w:type="even"/>
      <w:footerReference r:id="rId7" w:type="even"/>
      <w:pgSz w:w="11907" w:h="16840"/>
      <w:pgMar w:top="1701" w:right="1588" w:bottom="1701" w:left="1588" w:header="0" w:footer="1588" w:gutter="0"/>
      <w:cols w:space="720" w:num="1"/>
      <w:docGrid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方正舒体"/>
    <w:panose1 w:val="00000000000000000000"/>
    <w:charset w:val="86"/>
    <w:family w:val="script"/>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ind w:left="320" w:leftChars="100" w:right="320" w:rightChars="100" w:firstLine="0" w:firstLineChars="0"/>
      <w:rPr>
        <w:rStyle w:val="8"/>
        <w:sz w:val="28"/>
      </w:rPr>
    </w:pPr>
    <w:r>
      <w:rPr>
        <w:rStyle w:val="8"/>
        <w:rFonts w:hint="eastAsia"/>
        <w:sz w:val="28"/>
      </w:rPr>
      <w:t xml:space="preserve">— </w:t>
    </w:r>
    <w:r>
      <w:rPr>
        <w:sz w:val="28"/>
      </w:rPr>
      <w:fldChar w:fldCharType="begin"/>
    </w:r>
    <w:r>
      <w:rPr>
        <w:rStyle w:val="8"/>
        <w:sz w:val="28"/>
      </w:rPr>
      <w:instrText xml:space="preserve">PAGE  </w:instrText>
    </w:r>
    <w:r>
      <w:rPr>
        <w:sz w:val="28"/>
      </w:rPr>
      <w:fldChar w:fldCharType="separate"/>
    </w:r>
    <w:r>
      <w:rPr>
        <w:rStyle w:val="8"/>
        <w:sz w:val="28"/>
      </w:rPr>
      <w:t>6</w:t>
    </w:r>
    <w:r>
      <w:rPr>
        <w:sz w:val="28"/>
      </w:rPr>
      <w:fldChar w:fldCharType="end"/>
    </w:r>
    <w:r>
      <w:rPr>
        <w:rStyle w:val="8"/>
        <w:rFonts w:hint="eastAsia"/>
        <w:sz w:val="28"/>
      </w:rPr>
      <w:t xml:space="preserve"> — </w:t>
    </w:r>
  </w:p>
  <w:p>
    <w:pPr>
      <w:pStyle w:val="4"/>
      <w:ind w:right="362" w:rightChars="113" w:firstLine="360" w:firstLineChars="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ind w:firstLine="360"/>
      <w:rPr>
        <w:rStyle w:val="8"/>
      </w:rPr>
    </w:pPr>
    <w:r>
      <w:fldChar w:fldCharType="begin"/>
    </w:r>
    <w:r>
      <w:rPr>
        <w:rStyle w:val="8"/>
      </w:rPr>
      <w:instrText xml:space="preserve">PAGE  </w:instrText>
    </w:r>
    <w:r>
      <w:fldChar w:fldCharType="end"/>
    </w:r>
  </w:p>
  <w:p>
    <w:pPr>
      <w:pStyle w:val="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A37"/>
    <w:rsid w:val="00033AB1"/>
    <w:rsid w:val="000C662D"/>
    <w:rsid w:val="0018620D"/>
    <w:rsid w:val="0036178C"/>
    <w:rsid w:val="003E2876"/>
    <w:rsid w:val="0044607F"/>
    <w:rsid w:val="007A563D"/>
    <w:rsid w:val="00806513"/>
    <w:rsid w:val="00931F24"/>
    <w:rsid w:val="00967303"/>
    <w:rsid w:val="00E72A37"/>
    <w:rsid w:val="1C2D6731"/>
    <w:rsid w:val="68A25A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ind w:firstLine="200" w:firstLineChars="200"/>
      <w:jc w:val="both"/>
    </w:pPr>
    <w:rPr>
      <w:rFonts w:ascii="Times New Roman" w:hAnsi="Times New Roman" w:eastAsia="仿宋_GB2312" w:cs="Times New Roman"/>
      <w:kern w:val="2"/>
      <w:sz w:val="3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w:basedOn w:val="1"/>
    <w:link w:val="12"/>
    <w:uiPriority w:val="0"/>
    <w:pPr>
      <w:adjustRightInd/>
      <w:snapToGrid/>
      <w:spacing w:after="120" w:line="240" w:lineRule="auto"/>
      <w:ind w:firstLine="0" w:firstLineChars="0"/>
    </w:pPr>
    <w:rPr>
      <w:rFonts w:eastAsia="宋体"/>
      <w:sz w:val="21"/>
    </w:rPr>
  </w:style>
  <w:style w:type="paragraph" w:styleId="3">
    <w:name w:val="Date"/>
    <w:basedOn w:val="1"/>
    <w:next w:val="1"/>
    <w:link w:val="11"/>
    <w:semiHidden/>
    <w:unhideWhenUsed/>
    <w:uiPriority w:val="99"/>
    <w:pPr>
      <w:ind w:left="100" w:leftChars="2500"/>
    </w:pPr>
  </w:style>
  <w:style w:type="paragraph" w:styleId="4">
    <w:name w:val="footer"/>
    <w:basedOn w:val="1"/>
    <w:link w:val="9"/>
    <w:uiPriority w:val="0"/>
    <w:pPr>
      <w:tabs>
        <w:tab w:val="center" w:pos="4153"/>
        <w:tab w:val="right" w:pos="8306"/>
      </w:tabs>
      <w:spacing w:line="240" w:lineRule="auto"/>
      <w:jc w:val="left"/>
    </w:pPr>
    <w:rPr>
      <w:sz w:val="18"/>
      <w:szCs w:val="18"/>
    </w:rPr>
  </w:style>
  <w:style w:type="paragraph" w:styleId="5">
    <w:name w:val="header"/>
    <w:basedOn w:val="1"/>
    <w:link w:val="10"/>
    <w:uiPriority w:val="0"/>
    <w:pPr>
      <w:pBdr>
        <w:bottom w:val="single" w:color="auto" w:sz="6" w:space="1"/>
      </w:pBdr>
      <w:tabs>
        <w:tab w:val="center" w:pos="4153"/>
        <w:tab w:val="right" w:pos="8306"/>
      </w:tabs>
      <w:spacing w:line="240" w:lineRule="auto"/>
      <w:jc w:val="center"/>
    </w:pPr>
    <w:rPr>
      <w:sz w:val="18"/>
      <w:szCs w:val="18"/>
    </w:rPr>
  </w:style>
  <w:style w:type="character" w:styleId="8">
    <w:name w:val="page number"/>
    <w:basedOn w:val="7"/>
    <w:uiPriority w:val="0"/>
  </w:style>
  <w:style w:type="character" w:customStyle="1" w:styleId="9">
    <w:name w:val="页脚 Char"/>
    <w:basedOn w:val="7"/>
    <w:link w:val="4"/>
    <w:uiPriority w:val="0"/>
    <w:rPr>
      <w:rFonts w:ascii="Times New Roman" w:hAnsi="Times New Roman" w:eastAsia="仿宋_GB2312" w:cs="Times New Roman"/>
      <w:sz w:val="18"/>
      <w:szCs w:val="18"/>
    </w:rPr>
  </w:style>
  <w:style w:type="character" w:customStyle="1" w:styleId="10">
    <w:name w:val="页眉 Char"/>
    <w:basedOn w:val="7"/>
    <w:link w:val="5"/>
    <w:uiPriority w:val="0"/>
    <w:rPr>
      <w:rFonts w:ascii="Times New Roman" w:hAnsi="Times New Roman" w:eastAsia="仿宋_GB2312" w:cs="Times New Roman"/>
      <w:sz w:val="18"/>
      <w:szCs w:val="18"/>
    </w:rPr>
  </w:style>
  <w:style w:type="character" w:customStyle="1" w:styleId="11">
    <w:name w:val="日期 Char"/>
    <w:basedOn w:val="7"/>
    <w:link w:val="3"/>
    <w:semiHidden/>
    <w:uiPriority w:val="99"/>
    <w:rPr>
      <w:rFonts w:ascii="Times New Roman" w:hAnsi="Times New Roman" w:eastAsia="仿宋_GB2312" w:cs="Times New Roman"/>
      <w:sz w:val="32"/>
      <w:szCs w:val="20"/>
    </w:rPr>
  </w:style>
  <w:style w:type="character" w:customStyle="1" w:styleId="12">
    <w:name w:val="正文文本 Char"/>
    <w:basedOn w:val="7"/>
    <w:link w:val="2"/>
    <w:uiPriority w:val="0"/>
    <w:rPr>
      <w:rFonts w:ascii="Times New Roman" w:hAnsi="Times New Roman" w:eastAsia="宋体" w:cs="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Pages>
  <Words>356</Words>
  <Characters>2031</Characters>
  <Lines>16</Lines>
  <Paragraphs>4</Paragraphs>
  <TotalTime>10</TotalTime>
  <ScaleCrop>false</ScaleCrop>
  <LinksUpToDate>false</LinksUpToDate>
  <CharactersWithSpaces>2383</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2020-03-03T08:20:00Z</dcterms:created>
  <dc:creator>何宣妃</dc:creator>
  <cp:lastModifiedBy>Amanda</cp:lastModifiedBy>
  <cp:lastPrinted>2020-03-02T04:34:00Z</cp:lastPrinted>
  <dcterms:modified xsi:type="dcterms:W3CDTF">2020-03-04T04:41:20Z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